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514"/>
        <w:gridCol w:w="1793"/>
      </w:tblGrid>
      <w:tr w:rsidR="000A03B2" w:rsidRPr="008A401A"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8A401A" w:rsidRDefault="000A03B2" w:rsidP="00DE264A">
            <w:pPr>
              <w:tabs>
                <w:tab w:val="left" w:pos="-108"/>
              </w:tabs>
              <w:ind w:left="-108"/>
              <w:jc w:val="left"/>
              <w:rPr>
                <w:rFonts w:cs="Arial"/>
                <w:b/>
                <w:bCs/>
                <w:i/>
                <w:iCs/>
                <w:color w:val="000066"/>
                <w:sz w:val="12"/>
                <w:szCs w:val="12"/>
                <w:lang w:eastAsia="it-IT"/>
              </w:rPr>
            </w:pPr>
            <w:bookmarkStart w:id="0" w:name="_Hlk145068772"/>
            <w:r w:rsidRPr="008A401A">
              <w:rPr>
                <w:rFonts w:cs="Arial"/>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8A401A">
              <w:rPr>
                <w:rFonts w:cs="Arial"/>
                <w:color w:val="241F20"/>
                <w:szCs w:val="18"/>
                <w:lang w:eastAsia="it-IT"/>
              </w:rPr>
              <w:t xml:space="preserve"> </w:t>
            </w:r>
            <w:r w:rsidRPr="008A401A">
              <w:rPr>
                <w:rFonts w:cs="Arial"/>
                <w:b/>
                <w:bCs/>
                <w:i/>
                <w:iCs/>
                <w:color w:val="000066"/>
                <w:sz w:val="24"/>
                <w:szCs w:val="24"/>
                <w:lang w:eastAsia="it-IT"/>
              </w:rPr>
              <w:t>CHEMICAL ENGINEERING</w:t>
            </w:r>
            <w:r w:rsidRPr="008A401A">
              <w:rPr>
                <w:rFonts w:cs="Arial"/>
                <w:b/>
                <w:bCs/>
                <w:i/>
                <w:iCs/>
                <w:color w:val="0033FF"/>
                <w:sz w:val="24"/>
                <w:szCs w:val="24"/>
                <w:lang w:eastAsia="it-IT"/>
              </w:rPr>
              <w:t xml:space="preserve"> </w:t>
            </w:r>
            <w:r w:rsidRPr="008A401A">
              <w:rPr>
                <w:rFonts w:cs="Arial"/>
                <w:b/>
                <w:bCs/>
                <w:i/>
                <w:iCs/>
                <w:color w:val="666666"/>
                <w:sz w:val="24"/>
                <w:szCs w:val="24"/>
                <w:lang w:eastAsia="it-IT"/>
              </w:rPr>
              <w:t>TRANSACTIONS</w:t>
            </w:r>
            <w:r w:rsidRPr="008A401A">
              <w:rPr>
                <w:rFonts w:cs="Arial"/>
                <w:color w:val="333333"/>
                <w:sz w:val="24"/>
                <w:szCs w:val="24"/>
                <w:lang w:eastAsia="it-IT"/>
              </w:rPr>
              <w:t xml:space="preserve"> </w:t>
            </w:r>
            <w:r w:rsidRPr="008A401A">
              <w:rPr>
                <w:rFonts w:cs="Arial"/>
                <w:b/>
                <w:bCs/>
                <w:i/>
                <w:iCs/>
                <w:color w:val="000066"/>
                <w:sz w:val="27"/>
                <w:szCs w:val="27"/>
                <w:lang w:eastAsia="it-IT"/>
              </w:rPr>
              <w:br/>
            </w:r>
          </w:p>
          <w:p w14:paraId="4B780582" w14:textId="47EF826C" w:rsidR="000A03B2" w:rsidRPr="008A401A" w:rsidRDefault="00A76EFC" w:rsidP="001D21AF">
            <w:pPr>
              <w:tabs>
                <w:tab w:val="left" w:pos="-108"/>
              </w:tabs>
              <w:ind w:left="-108"/>
              <w:rPr>
                <w:rFonts w:cs="Arial"/>
                <w:b/>
                <w:bCs/>
                <w:i/>
                <w:iCs/>
                <w:color w:val="000066"/>
                <w:sz w:val="22"/>
                <w:szCs w:val="22"/>
                <w:lang w:eastAsia="it-IT"/>
              </w:rPr>
            </w:pPr>
            <w:r w:rsidRPr="008A401A">
              <w:rPr>
                <w:rFonts w:cs="Arial"/>
                <w:b/>
                <w:bCs/>
                <w:i/>
                <w:iCs/>
                <w:color w:val="000066"/>
                <w:sz w:val="22"/>
                <w:szCs w:val="22"/>
                <w:lang w:eastAsia="it-IT"/>
              </w:rPr>
              <w:t>VOL.</w:t>
            </w:r>
            <w:r w:rsidR="00785BF9" w:rsidRPr="008A401A">
              <w:rPr>
                <w:rFonts w:cs="Arial"/>
                <w:b/>
                <w:bCs/>
                <w:i/>
                <w:iCs/>
                <w:color w:val="000066"/>
                <w:sz w:val="22"/>
                <w:szCs w:val="22"/>
                <w:lang w:eastAsia="it-IT"/>
              </w:rPr>
              <w:t xml:space="preserve"> </w:t>
            </w:r>
            <w:r w:rsidR="00994C6A" w:rsidRPr="008A401A">
              <w:rPr>
                <w:rFonts w:cs="Arial"/>
                <w:b/>
                <w:bCs/>
                <w:i/>
                <w:iCs/>
                <w:color w:val="000066"/>
                <w:sz w:val="22"/>
                <w:szCs w:val="22"/>
                <w:lang w:eastAsia="it-IT"/>
              </w:rPr>
              <w:t>xxx</w:t>
            </w:r>
            <w:r w:rsidR="007B48F9" w:rsidRPr="008A401A">
              <w:rPr>
                <w:rFonts w:cs="Arial"/>
                <w:b/>
                <w:bCs/>
                <w:i/>
                <w:iCs/>
                <w:color w:val="000066"/>
                <w:sz w:val="22"/>
                <w:szCs w:val="22"/>
                <w:lang w:eastAsia="it-IT"/>
              </w:rPr>
              <w:t>,</w:t>
            </w:r>
            <w:r w:rsidR="00FA5F5F" w:rsidRPr="008A401A">
              <w:rPr>
                <w:rFonts w:cs="Arial"/>
                <w:b/>
                <w:bCs/>
                <w:i/>
                <w:iCs/>
                <w:color w:val="000066"/>
                <w:sz w:val="22"/>
                <w:szCs w:val="22"/>
                <w:lang w:eastAsia="it-IT"/>
              </w:rPr>
              <w:t xml:space="preserve"> </w:t>
            </w:r>
            <w:r w:rsidR="0030152C" w:rsidRPr="008A401A">
              <w:rPr>
                <w:rFonts w:cs="Arial"/>
                <w:b/>
                <w:bCs/>
                <w:i/>
                <w:iCs/>
                <w:color w:val="000066"/>
                <w:sz w:val="22"/>
                <w:szCs w:val="22"/>
                <w:lang w:eastAsia="it-IT"/>
              </w:rPr>
              <w:t>202</w:t>
            </w:r>
            <w:r w:rsidR="00994C6A" w:rsidRPr="008A401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8A401A" w:rsidRDefault="000A03B2" w:rsidP="00CD5FE2">
            <w:pPr>
              <w:spacing w:line="140" w:lineRule="atLeast"/>
              <w:jc w:val="right"/>
              <w:rPr>
                <w:rFonts w:cs="Arial"/>
                <w:sz w:val="14"/>
                <w:szCs w:val="14"/>
              </w:rPr>
            </w:pPr>
            <w:r w:rsidRPr="008A401A">
              <w:rPr>
                <w:rFonts w:cs="Arial"/>
                <w:sz w:val="14"/>
                <w:szCs w:val="14"/>
              </w:rPr>
              <w:t>A publication of</w:t>
            </w:r>
          </w:p>
          <w:p w14:paraId="599E5441" w14:textId="77777777" w:rsidR="000A03B2" w:rsidRPr="008A401A" w:rsidRDefault="000A03B2" w:rsidP="00CD5FE2">
            <w:pPr>
              <w:jc w:val="right"/>
              <w:rPr>
                <w:rFonts w:cs="Arial"/>
              </w:rPr>
            </w:pPr>
            <w:r w:rsidRPr="008A401A">
              <w:rPr>
                <w:rFonts w:cs="Arial"/>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8A401A" w14:paraId="380FA3CD" w14:textId="77777777" w:rsidTr="00DE264A">
        <w:trPr>
          <w:trHeight w:val="567"/>
          <w:jc w:val="center"/>
        </w:trPr>
        <w:tc>
          <w:tcPr>
            <w:tcW w:w="6946" w:type="dxa"/>
            <w:vMerge/>
            <w:tcBorders>
              <w:right w:val="single" w:sz="4" w:space="0" w:color="auto"/>
            </w:tcBorders>
          </w:tcPr>
          <w:p w14:paraId="39E5E4C1" w14:textId="77777777" w:rsidR="000A03B2" w:rsidRPr="008A401A" w:rsidRDefault="000A03B2" w:rsidP="00CD5FE2">
            <w:pPr>
              <w:tabs>
                <w:tab w:val="left" w:pos="-108"/>
              </w:tabs>
              <w:rPr>
                <w:rFonts w:cs="Arial"/>
              </w:rPr>
            </w:pPr>
          </w:p>
        </w:tc>
        <w:tc>
          <w:tcPr>
            <w:tcW w:w="1843" w:type="dxa"/>
            <w:tcBorders>
              <w:left w:val="single" w:sz="4" w:space="0" w:color="auto"/>
              <w:bottom w:val="nil"/>
              <w:right w:val="single" w:sz="4" w:space="0" w:color="auto"/>
            </w:tcBorders>
          </w:tcPr>
          <w:p w14:paraId="43858A98" w14:textId="77777777" w:rsidR="000A03B2" w:rsidRPr="008A401A" w:rsidRDefault="000A03B2" w:rsidP="00CD5FE2">
            <w:pPr>
              <w:spacing w:line="140" w:lineRule="atLeast"/>
              <w:jc w:val="right"/>
              <w:rPr>
                <w:rFonts w:cs="Arial"/>
                <w:sz w:val="14"/>
                <w:szCs w:val="14"/>
              </w:rPr>
            </w:pPr>
            <w:r w:rsidRPr="008A401A">
              <w:rPr>
                <w:rFonts w:cs="Arial"/>
                <w:sz w:val="14"/>
                <w:szCs w:val="14"/>
              </w:rPr>
              <w:t>The Italian Association</w:t>
            </w:r>
          </w:p>
          <w:p w14:paraId="7522B1D2" w14:textId="77777777" w:rsidR="000A03B2" w:rsidRPr="008A401A" w:rsidRDefault="000A03B2" w:rsidP="00CD5FE2">
            <w:pPr>
              <w:spacing w:line="140" w:lineRule="atLeast"/>
              <w:jc w:val="right"/>
              <w:rPr>
                <w:rFonts w:cs="Arial"/>
                <w:sz w:val="14"/>
                <w:szCs w:val="14"/>
              </w:rPr>
            </w:pPr>
            <w:r w:rsidRPr="008A401A">
              <w:rPr>
                <w:rFonts w:cs="Arial"/>
                <w:sz w:val="14"/>
                <w:szCs w:val="14"/>
              </w:rPr>
              <w:t>of Chemical Engineering</w:t>
            </w:r>
          </w:p>
          <w:p w14:paraId="4F0CC5DE" w14:textId="47FDB2FC" w:rsidR="000A03B2" w:rsidRPr="008A401A" w:rsidRDefault="000D0268" w:rsidP="00CD5FE2">
            <w:pPr>
              <w:spacing w:line="140" w:lineRule="atLeast"/>
              <w:jc w:val="right"/>
              <w:rPr>
                <w:rFonts w:cs="Arial"/>
                <w:sz w:val="13"/>
                <w:szCs w:val="13"/>
              </w:rPr>
            </w:pPr>
            <w:r w:rsidRPr="008A401A">
              <w:rPr>
                <w:rFonts w:cs="Arial"/>
                <w:sz w:val="13"/>
                <w:szCs w:val="13"/>
              </w:rPr>
              <w:t>Online at www.cetjournal.it</w:t>
            </w:r>
          </w:p>
        </w:tc>
      </w:tr>
      <w:tr w:rsidR="000A03B2" w:rsidRPr="008A401A" w14:paraId="2D1B7169" w14:textId="77777777" w:rsidTr="00DE264A">
        <w:trPr>
          <w:trHeight w:val="68"/>
          <w:jc w:val="center"/>
        </w:trPr>
        <w:tc>
          <w:tcPr>
            <w:tcW w:w="8789" w:type="dxa"/>
            <w:gridSpan w:val="2"/>
          </w:tcPr>
          <w:p w14:paraId="1D8DD3C9" w14:textId="025D7B18" w:rsidR="00AA7D26" w:rsidRPr="008A401A" w:rsidRDefault="00AA7D26" w:rsidP="007D610D">
            <w:pPr>
              <w:ind w:left="-107"/>
              <w:outlineLvl w:val="2"/>
              <w:rPr>
                <w:rFonts w:cs="Arial"/>
                <w:color w:val="000000"/>
                <w:sz w:val="14"/>
                <w:szCs w:val="14"/>
                <w:shd w:val="clear" w:color="auto" w:fill="FFFFFF"/>
                <w:lang w:val="it-IT"/>
              </w:rPr>
            </w:pPr>
            <w:r w:rsidRPr="008A401A">
              <w:rPr>
                <w:rFonts w:cs="Arial"/>
                <w:iCs/>
                <w:color w:val="333333"/>
                <w:sz w:val="14"/>
                <w:szCs w:val="14"/>
                <w:lang w:val="it-IT" w:eastAsia="it-IT"/>
              </w:rPr>
              <w:t>Guest Editors:</w:t>
            </w:r>
            <w:r w:rsidR="007D610D" w:rsidRPr="008A401A">
              <w:rPr>
                <w:rFonts w:eastAsiaTheme="minorHAnsi" w:cs="Arial"/>
                <w:sz w:val="22"/>
                <w:szCs w:val="22"/>
                <w:lang w:val="it-IT"/>
                <w14:ligatures w14:val="standardContextual"/>
              </w:rPr>
              <w:t xml:space="preserve"> </w:t>
            </w:r>
            <w:r w:rsidR="007D610D" w:rsidRPr="008A401A">
              <w:rPr>
                <w:rFonts w:cs="Arial"/>
                <w:color w:val="000000"/>
                <w:sz w:val="14"/>
                <w:szCs w:val="14"/>
                <w:shd w:val="clear" w:color="auto" w:fill="FFFFFF"/>
                <w:lang w:val="it-IT"/>
              </w:rPr>
              <w:t xml:space="preserve">Fabrizio Bezzo, </w:t>
            </w:r>
            <w:r w:rsidR="001D3D32" w:rsidRPr="008A401A">
              <w:rPr>
                <w:rFonts w:cs="Arial"/>
                <w:color w:val="000000"/>
                <w:sz w:val="14"/>
                <w:szCs w:val="14"/>
                <w:shd w:val="clear" w:color="auto" w:fill="FFFFFF"/>
                <w:lang w:val="it-IT"/>
              </w:rPr>
              <w:t>Flavio Manenti</w:t>
            </w:r>
            <w:r w:rsidR="00304CE8" w:rsidRPr="008A401A">
              <w:rPr>
                <w:rFonts w:cs="Arial"/>
                <w:color w:val="000000"/>
                <w:sz w:val="14"/>
                <w:szCs w:val="14"/>
                <w:shd w:val="clear" w:color="auto" w:fill="FFFFFF"/>
                <w:lang w:val="it-IT"/>
              </w:rPr>
              <w:t>,</w:t>
            </w:r>
            <w:r w:rsidR="001D3D32" w:rsidRPr="008A401A">
              <w:rPr>
                <w:rFonts w:cs="Arial"/>
                <w:color w:val="000000"/>
                <w:sz w:val="14"/>
                <w:szCs w:val="14"/>
                <w:shd w:val="clear" w:color="auto" w:fill="FFFFFF"/>
                <w:lang w:val="it-IT"/>
              </w:rPr>
              <w:t xml:space="preserve"> </w:t>
            </w:r>
            <w:r w:rsidR="007D610D" w:rsidRPr="008A401A">
              <w:rPr>
                <w:rFonts w:cs="Arial"/>
                <w:color w:val="000000"/>
                <w:sz w:val="14"/>
                <w:szCs w:val="14"/>
                <w:shd w:val="clear" w:color="auto" w:fill="FFFFFF"/>
                <w:lang w:val="it-IT"/>
              </w:rPr>
              <w:t>Gabriele Pannocchia, Almerinda di Benedetto</w:t>
            </w:r>
          </w:p>
          <w:p w14:paraId="1B0F1814" w14:textId="7C54DC3A" w:rsidR="000A03B2" w:rsidRPr="008A401A" w:rsidRDefault="00AA7D26" w:rsidP="00AA7D26">
            <w:pPr>
              <w:tabs>
                <w:tab w:val="left" w:pos="-108"/>
              </w:tabs>
              <w:spacing w:line="140" w:lineRule="atLeast"/>
              <w:ind w:left="-107"/>
              <w:jc w:val="left"/>
              <w:rPr>
                <w:rFonts w:cs="Arial"/>
              </w:rPr>
            </w:pPr>
            <w:r w:rsidRPr="008A401A">
              <w:rPr>
                <w:rFonts w:cs="Arial"/>
                <w:iCs/>
                <w:color w:val="333333"/>
                <w:sz w:val="14"/>
                <w:szCs w:val="14"/>
                <w:lang w:eastAsia="it-IT"/>
              </w:rPr>
              <w:t>Copyright © 202</w:t>
            </w:r>
            <w:r w:rsidR="00994C6A" w:rsidRPr="008A401A">
              <w:rPr>
                <w:rFonts w:cs="Arial"/>
                <w:iCs/>
                <w:color w:val="333333"/>
                <w:sz w:val="14"/>
                <w:szCs w:val="14"/>
                <w:lang w:eastAsia="it-IT"/>
              </w:rPr>
              <w:t>5</w:t>
            </w:r>
            <w:r w:rsidRPr="008A401A">
              <w:rPr>
                <w:rFonts w:cs="Arial"/>
                <w:iCs/>
                <w:color w:val="333333"/>
                <w:sz w:val="14"/>
                <w:szCs w:val="14"/>
                <w:lang w:eastAsia="it-IT"/>
              </w:rPr>
              <w:t xml:space="preserve">, AIDIC </w:t>
            </w:r>
            <w:proofErr w:type="spellStart"/>
            <w:r w:rsidRPr="008A401A">
              <w:rPr>
                <w:rFonts w:cs="Arial"/>
                <w:iCs/>
                <w:color w:val="333333"/>
                <w:sz w:val="14"/>
                <w:szCs w:val="14"/>
                <w:lang w:eastAsia="it-IT"/>
              </w:rPr>
              <w:t>Servizi</w:t>
            </w:r>
            <w:proofErr w:type="spellEnd"/>
            <w:r w:rsidRPr="008A401A">
              <w:rPr>
                <w:rFonts w:cs="Arial"/>
                <w:iCs/>
                <w:color w:val="333333"/>
                <w:sz w:val="14"/>
                <w:szCs w:val="14"/>
                <w:lang w:eastAsia="it-IT"/>
              </w:rPr>
              <w:t xml:space="preserve"> </w:t>
            </w:r>
            <w:proofErr w:type="spellStart"/>
            <w:r w:rsidRPr="008A401A">
              <w:rPr>
                <w:rFonts w:cs="Arial"/>
                <w:iCs/>
                <w:color w:val="333333"/>
                <w:sz w:val="14"/>
                <w:szCs w:val="14"/>
                <w:lang w:eastAsia="it-IT"/>
              </w:rPr>
              <w:t>S.r.l</w:t>
            </w:r>
            <w:proofErr w:type="spellEnd"/>
            <w:r w:rsidRPr="008A401A">
              <w:rPr>
                <w:rFonts w:cs="Arial"/>
                <w:iCs/>
                <w:color w:val="333333"/>
                <w:sz w:val="14"/>
                <w:szCs w:val="14"/>
                <w:lang w:eastAsia="it-IT"/>
              </w:rPr>
              <w:t>.</w:t>
            </w:r>
            <w:r w:rsidRPr="008A401A">
              <w:rPr>
                <w:rFonts w:cs="Arial"/>
                <w:iCs/>
                <w:color w:val="333333"/>
                <w:sz w:val="14"/>
                <w:szCs w:val="14"/>
                <w:lang w:eastAsia="it-IT"/>
              </w:rPr>
              <w:br/>
            </w:r>
            <w:r w:rsidRPr="008A401A">
              <w:rPr>
                <w:rFonts w:cs="Arial"/>
                <w:b/>
                <w:iCs/>
                <w:color w:val="000000"/>
                <w:sz w:val="14"/>
                <w:szCs w:val="14"/>
                <w:lang w:eastAsia="it-IT"/>
              </w:rPr>
              <w:t>ISBN</w:t>
            </w:r>
            <w:r w:rsidRPr="008A401A">
              <w:rPr>
                <w:rFonts w:cs="Arial"/>
                <w:iCs/>
                <w:color w:val="000000"/>
                <w:sz w:val="14"/>
                <w:szCs w:val="14"/>
                <w:lang w:eastAsia="it-IT"/>
              </w:rPr>
              <w:t xml:space="preserve"> </w:t>
            </w:r>
            <w:r w:rsidR="003B49CD" w:rsidRPr="008A401A">
              <w:rPr>
                <w:rFonts w:cs="Arial"/>
                <w:sz w:val="14"/>
                <w:szCs w:val="14"/>
              </w:rPr>
              <w:t>979-12-81206-1</w:t>
            </w:r>
            <w:r w:rsidR="00994C6A" w:rsidRPr="008A401A">
              <w:rPr>
                <w:rFonts w:cs="Arial"/>
                <w:sz w:val="14"/>
                <w:szCs w:val="14"/>
              </w:rPr>
              <w:t>7</w:t>
            </w:r>
            <w:r w:rsidR="003B49CD" w:rsidRPr="008A401A">
              <w:rPr>
                <w:rFonts w:cs="Arial"/>
                <w:sz w:val="14"/>
                <w:szCs w:val="14"/>
              </w:rPr>
              <w:t>-</w:t>
            </w:r>
            <w:r w:rsidR="00994C6A" w:rsidRPr="008A401A">
              <w:rPr>
                <w:rFonts w:cs="Arial"/>
                <w:sz w:val="14"/>
                <w:szCs w:val="14"/>
              </w:rPr>
              <w:t>5</w:t>
            </w:r>
            <w:r w:rsidRPr="008A401A">
              <w:rPr>
                <w:rFonts w:cs="Arial"/>
                <w:iCs/>
                <w:color w:val="333333"/>
                <w:sz w:val="14"/>
                <w:szCs w:val="14"/>
                <w:lang w:eastAsia="it-IT"/>
              </w:rPr>
              <w:t xml:space="preserve">; </w:t>
            </w:r>
            <w:r w:rsidRPr="008A401A">
              <w:rPr>
                <w:rFonts w:cs="Arial"/>
                <w:b/>
                <w:iCs/>
                <w:color w:val="333333"/>
                <w:sz w:val="14"/>
                <w:szCs w:val="14"/>
                <w:lang w:eastAsia="it-IT"/>
              </w:rPr>
              <w:t>ISSN</w:t>
            </w:r>
            <w:r w:rsidRPr="008A401A">
              <w:rPr>
                <w:rFonts w:cs="Arial"/>
                <w:iCs/>
                <w:color w:val="333333"/>
                <w:sz w:val="14"/>
                <w:szCs w:val="14"/>
                <w:lang w:eastAsia="it-IT"/>
              </w:rPr>
              <w:t xml:space="preserve"> 2283-9216</w:t>
            </w:r>
          </w:p>
        </w:tc>
      </w:tr>
    </w:tbl>
    <w:bookmarkEnd w:id="0"/>
    <w:p w14:paraId="2E667253" w14:textId="697F87E2" w:rsidR="00E978D0" w:rsidRPr="008A401A" w:rsidRDefault="003B6532" w:rsidP="00E978D0">
      <w:pPr>
        <w:pStyle w:val="CETTitle"/>
        <w:rPr>
          <w:rFonts w:cs="Arial"/>
        </w:rPr>
      </w:pPr>
      <w:r w:rsidRPr="008A401A">
        <w:rPr>
          <w:rFonts w:cs="Arial"/>
        </w:rPr>
        <w:t>Systematic Inherent safety assessment of electrolytic hydrogen production via NR-TOPSIS approach</w:t>
      </w:r>
    </w:p>
    <w:p w14:paraId="0488FED2" w14:textId="6F681BE2" w:rsidR="00B57E6F" w:rsidRPr="008A401A" w:rsidRDefault="009F083E" w:rsidP="00B57E6F">
      <w:pPr>
        <w:pStyle w:val="CETAuthors"/>
        <w:rPr>
          <w:rFonts w:cs="Arial"/>
        </w:rPr>
      </w:pPr>
      <w:r w:rsidRPr="008A401A">
        <w:rPr>
          <w:rFonts w:cs="Arial"/>
        </w:rPr>
        <w:t>Jing Dang</w:t>
      </w:r>
      <w:r w:rsidRPr="008A401A">
        <w:rPr>
          <w:rFonts w:cs="Arial"/>
          <w:vertAlign w:val="superscript"/>
        </w:rPr>
        <w:t>a, b</w:t>
      </w:r>
      <w:r w:rsidRPr="008A401A">
        <w:rPr>
          <w:rFonts w:cs="Arial"/>
        </w:rPr>
        <w:t>, Zijian Deng</w:t>
      </w:r>
      <w:r w:rsidRPr="008A401A">
        <w:rPr>
          <w:rFonts w:cs="Arial"/>
          <w:vertAlign w:val="superscript"/>
        </w:rPr>
        <w:t>c</w:t>
      </w:r>
      <w:r w:rsidRPr="008A401A">
        <w:rPr>
          <w:rFonts w:cs="Arial"/>
        </w:rPr>
        <w:t xml:space="preserve">, </w:t>
      </w:r>
      <w:r w:rsidR="005173DC" w:rsidRPr="005173DC">
        <w:rPr>
          <w:rFonts w:cs="Arial"/>
        </w:rPr>
        <w:t>Valerio Cozzani</w:t>
      </w:r>
      <w:r w:rsidR="005173DC" w:rsidRPr="005173DC">
        <w:rPr>
          <w:rFonts w:cs="Arial"/>
          <w:vertAlign w:val="superscript"/>
        </w:rPr>
        <w:t xml:space="preserve"> </w:t>
      </w:r>
      <w:r w:rsidR="003A7089" w:rsidRPr="008A401A">
        <w:rPr>
          <w:rFonts w:cs="Arial"/>
          <w:vertAlign w:val="superscript"/>
        </w:rPr>
        <w:t xml:space="preserve">* </w:t>
      </w:r>
      <w:r w:rsidR="005173DC" w:rsidRPr="008A401A">
        <w:rPr>
          <w:rFonts w:cs="Arial"/>
          <w:vertAlign w:val="superscript"/>
        </w:rPr>
        <w:t>c</w:t>
      </w:r>
      <w:r w:rsidR="005173DC" w:rsidRPr="008A401A">
        <w:rPr>
          <w:rFonts w:cs="Arial"/>
        </w:rPr>
        <w:t>,</w:t>
      </w:r>
      <w:r w:rsidR="00306276">
        <w:rPr>
          <w:rFonts w:eastAsiaTheme="minorEastAsia" w:cs="Arial" w:hint="eastAsia"/>
          <w:lang w:eastAsia="zh-CN"/>
        </w:rPr>
        <w:t xml:space="preserve"> </w:t>
      </w:r>
      <w:r w:rsidRPr="008A401A">
        <w:rPr>
          <w:rFonts w:cs="Arial"/>
        </w:rPr>
        <w:t>Yi Liu</w:t>
      </w:r>
      <w:r w:rsidRPr="008A401A">
        <w:rPr>
          <w:rFonts w:cs="Arial"/>
          <w:vertAlign w:val="superscript"/>
        </w:rPr>
        <w:t>* a, b</w:t>
      </w:r>
    </w:p>
    <w:p w14:paraId="6B2D21B3" w14:textId="1C643F49" w:rsidR="00B57E6F" w:rsidRPr="008A401A" w:rsidRDefault="00B57E6F" w:rsidP="00B57E6F">
      <w:pPr>
        <w:pStyle w:val="CETAddress"/>
        <w:rPr>
          <w:rFonts w:cs="Arial"/>
        </w:rPr>
      </w:pPr>
      <w:r w:rsidRPr="008A401A">
        <w:rPr>
          <w:rFonts w:cs="Arial"/>
          <w:vertAlign w:val="superscript"/>
        </w:rPr>
        <w:t>a</w:t>
      </w:r>
      <w:r w:rsidR="00385646" w:rsidRPr="008A401A">
        <w:rPr>
          <w:rFonts w:cs="Arial"/>
        </w:rPr>
        <w:t>State Key Laboratory of Chemical Safety, China University of Petroleum (East China), Qingdao 266580, China</w:t>
      </w:r>
    </w:p>
    <w:p w14:paraId="554A3958" w14:textId="77777777" w:rsidR="00961E2E" w:rsidRPr="008A401A" w:rsidRDefault="00B57E6F" w:rsidP="00961E2E">
      <w:pPr>
        <w:pStyle w:val="CETAddress"/>
        <w:rPr>
          <w:rFonts w:eastAsiaTheme="minorEastAsia" w:cs="Arial"/>
          <w:lang w:eastAsia="zh-CN"/>
        </w:rPr>
      </w:pPr>
      <w:r w:rsidRPr="008A401A">
        <w:rPr>
          <w:rFonts w:cs="Arial"/>
          <w:vertAlign w:val="superscript"/>
        </w:rPr>
        <w:t>b</w:t>
      </w:r>
      <w:r w:rsidR="005710F8" w:rsidRPr="008A401A">
        <w:rPr>
          <w:rFonts w:cs="Arial"/>
        </w:rPr>
        <w:t>College of Chemistry and Chemical Engineering, China University of Petroleum (East China), Qingdao 266580, China</w:t>
      </w:r>
    </w:p>
    <w:p w14:paraId="5349307E" w14:textId="1215278A" w:rsidR="007C49E5" w:rsidRPr="008A401A" w:rsidRDefault="007C49E5" w:rsidP="00B57E6F">
      <w:pPr>
        <w:pStyle w:val="CETAddress"/>
        <w:rPr>
          <w:rFonts w:eastAsiaTheme="minorEastAsia" w:cs="Arial"/>
          <w:szCs w:val="16"/>
          <w:lang w:eastAsia="zh-CN"/>
        </w:rPr>
      </w:pPr>
      <w:r w:rsidRPr="008A401A">
        <w:rPr>
          <w:rFonts w:eastAsiaTheme="minorEastAsia" w:cs="Arial"/>
          <w:vertAlign w:val="superscript"/>
          <w:lang w:eastAsia="zh-CN"/>
        </w:rPr>
        <w:t>c</w:t>
      </w:r>
      <w:r w:rsidR="00961E2E" w:rsidRPr="008A401A">
        <w:rPr>
          <w:rFonts w:cs="Arial"/>
          <w:iCs/>
          <w:szCs w:val="16"/>
        </w:rPr>
        <w:t xml:space="preserve">Department of Civil, Chemical, Environmental and Materials Engineering, University of Bologna, </w:t>
      </w:r>
      <w:r w:rsidR="000F1521" w:rsidRPr="008A401A">
        <w:rPr>
          <w:rFonts w:eastAsiaTheme="minorEastAsia" w:cs="Arial"/>
          <w:iCs/>
          <w:szCs w:val="16"/>
          <w:lang w:eastAsia="zh-CN"/>
        </w:rPr>
        <w:t>Bologna,</w:t>
      </w:r>
      <w:r w:rsidR="00961E2E" w:rsidRPr="008A401A">
        <w:rPr>
          <w:rFonts w:cs="Arial"/>
          <w:iCs/>
          <w:szCs w:val="16"/>
        </w:rPr>
        <w:t>40131, Italy</w:t>
      </w:r>
    </w:p>
    <w:p w14:paraId="73F1267A" w14:textId="0FBED9CB" w:rsidR="00B57E6F" w:rsidRPr="008A401A" w:rsidRDefault="00B57E6F" w:rsidP="00B57E6F">
      <w:pPr>
        <w:pStyle w:val="CETemail"/>
        <w:rPr>
          <w:rFonts w:cs="Arial"/>
        </w:rPr>
      </w:pPr>
      <w:r w:rsidRPr="008A401A">
        <w:rPr>
          <w:rFonts w:cs="Arial"/>
        </w:rPr>
        <w:t>corresponding.</w:t>
      </w:r>
      <w:r w:rsidR="000A66BC" w:rsidRPr="008A401A">
        <w:rPr>
          <w:rFonts w:cs="Arial"/>
        </w:rPr>
        <w:t xml:space="preserve"> liuyi@upc.edu.cn</w:t>
      </w:r>
    </w:p>
    <w:p w14:paraId="58B09AE1" w14:textId="175324E2" w:rsidR="00A17F35" w:rsidRPr="008A401A" w:rsidRDefault="00A17F35" w:rsidP="00600535">
      <w:pPr>
        <w:pStyle w:val="CETBodytext"/>
        <w:rPr>
          <w:rFonts w:eastAsiaTheme="minorEastAsia" w:cs="Arial"/>
          <w:lang w:val="en-GB" w:eastAsia="zh-CN"/>
        </w:rPr>
      </w:pPr>
      <w:r w:rsidRPr="008A401A">
        <w:rPr>
          <w:rFonts w:eastAsiaTheme="minorEastAsia" w:cs="Arial"/>
          <w:lang w:val="en-GB" w:eastAsia="zh-CN"/>
        </w:rPr>
        <w:t>This study systematically collected 55 indicators related to hydrogen production via electrolysis and categorized them into 6 groups. An inherent safety assessment method based on the NR-TOPSIS approach was designed for indicator aggregation. In the first stage of indicator aggregation, inherent indicators were scored based on predefined evaluation criteria, standardized to unify dimensions, and positive and negative ideal solutions were determined. The distances between each indicator and the ideal solutions, as well as their relative proximity, were calculated to determine the importance of the indicators. In the second stage, a hierarchical structure was established, indicators were classified into different levels, and pairwise comparison matrices were constructed to assess the importance of the indicators. Judgment matrices were generated, and weight vectors were calculated, followed by consistency checks to ensure the rationality of the weight allocation. Finally, the results of indicator aggregation from both the first and second stages were integrated to obtain the final evaluation score for the system or scheme. Based on this, weight adjustment and sensitivity analysis were conducted to enhance the scientific validity and accuracy of the scores. By manually or automatically adjusting the weights, the impact of weight changes on the scoring results was tested, and the comparison matrices were iteratively optimized. The final adjusted weights were output, completing the entire feedback and optimization process, thereby achieving an inherent safety assessment of the safety of hydrogen production via electrolysis</w:t>
      </w:r>
    </w:p>
    <w:p w14:paraId="476B2F2E" w14:textId="52B36035" w:rsidR="00600535" w:rsidRPr="008A401A" w:rsidRDefault="00600535" w:rsidP="00600535">
      <w:pPr>
        <w:pStyle w:val="CETHeading1"/>
        <w:rPr>
          <w:rFonts w:cs="Arial"/>
          <w:lang w:val="en-GB"/>
        </w:rPr>
      </w:pPr>
      <w:r w:rsidRPr="008A401A">
        <w:rPr>
          <w:rFonts w:cs="Arial"/>
          <w:lang w:val="en-GB"/>
        </w:rPr>
        <w:t>Introduction</w:t>
      </w:r>
    </w:p>
    <w:p w14:paraId="7C387E70" w14:textId="2A8575D5" w:rsidR="007E0E8B" w:rsidRDefault="000052FB" w:rsidP="00600535">
      <w:pPr>
        <w:pStyle w:val="CETBodytext"/>
        <w:rPr>
          <w:rFonts w:eastAsiaTheme="minorEastAsia" w:cs="Arial"/>
          <w:lang w:val="en-GB" w:eastAsia="zh-CN"/>
        </w:rPr>
      </w:pPr>
      <w:r w:rsidRPr="008A401A">
        <w:rPr>
          <w:rFonts w:cs="Arial"/>
          <w:lang w:val="en-GB"/>
        </w:rPr>
        <w:t>In</w:t>
      </w:r>
      <w:r w:rsidR="006B191B" w:rsidRPr="008A401A">
        <w:rPr>
          <w:rFonts w:eastAsiaTheme="minorEastAsia" w:cs="Arial"/>
          <w:lang w:val="en-GB" w:eastAsia="zh-CN"/>
        </w:rPr>
        <w:t>herent safety is a very important concept in the</w:t>
      </w:r>
      <w:r w:rsidR="00FB6D66" w:rsidRPr="008A401A">
        <w:rPr>
          <w:rFonts w:eastAsiaTheme="minorEastAsia" w:cs="Arial"/>
          <w:lang w:val="en-GB" w:eastAsia="zh-CN"/>
        </w:rPr>
        <w:t xml:space="preserve"> </w:t>
      </w:r>
      <w:r w:rsidR="00045C04" w:rsidRPr="008A401A">
        <w:rPr>
          <w:rFonts w:eastAsiaTheme="minorEastAsia" w:cs="Arial"/>
          <w:lang w:val="en-GB" w:eastAsia="zh-CN"/>
        </w:rPr>
        <w:t xml:space="preserve">processes design. </w:t>
      </w:r>
      <w:r w:rsidR="004D3E36" w:rsidRPr="008A401A">
        <w:rPr>
          <w:rFonts w:eastAsiaTheme="minorEastAsia" w:cs="Arial"/>
          <w:lang w:val="en-GB" w:eastAsia="zh-CN"/>
        </w:rPr>
        <w:t>In</w:t>
      </w:r>
      <w:r w:rsidR="00EB4245" w:rsidRPr="008A401A">
        <w:rPr>
          <w:rFonts w:eastAsiaTheme="minorEastAsia" w:cs="Arial"/>
          <w:lang w:val="en-GB" w:eastAsia="zh-CN"/>
        </w:rPr>
        <w:t xml:space="preserve"> </w:t>
      </w:r>
      <w:r w:rsidR="00193C67" w:rsidRPr="008A401A">
        <w:rPr>
          <w:rFonts w:eastAsiaTheme="minorEastAsia" w:cs="Arial"/>
          <w:lang w:val="en-GB" w:eastAsia="zh-CN"/>
        </w:rPr>
        <w:t>industrial</w:t>
      </w:r>
      <w:r w:rsidR="00EB4245" w:rsidRPr="008A401A">
        <w:rPr>
          <w:rFonts w:eastAsiaTheme="minorEastAsia" w:cs="Arial"/>
          <w:lang w:val="en-GB" w:eastAsia="zh-CN"/>
        </w:rPr>
        <w:t xml:space="preserve"> processes design, </w:t>
      </w:r>
      <w:r w:rsidR="00E8724E" w:rsidRPr="008A401A">
        <w:rPr>
          <w:rFonts w:eastAsiaTheme="minorEastAsia" w:cs="Arial"/>
          <w:lang w:val="en-GB" w:eastAsia="zh-CN"/>
        </w:rPr>
        <w:t xml:space="preserve">traditionally, </w:t>
      </w:r>
      <w:r w:rsidR="00517012" w:rsidRPr="008A401A">
        <w:rPr>
          <w:rFonts w:eastAsiaTheme="minorEastAsia" w:cs="Arial"/>
          <w:lang w:val="en-GB" w:eastAsia="zh-CN"/>
        </w:rPr>
        <w:t>techno-economic crit</w:t>
      </w:r>
      <w:r w:rsidR="00E01A50" w:rsidRPr="008A401A">
        <w:rPr>
          <w:rFonts w:eastAsiaTheme="minorEastAsia" w:cs="Arial"/>
          <w:lang w:val="en-GB" w:eastAsia="zh-CN"/>
        </w:rPr>
        <w:t>e</w:t>
      </w:r>
      <w:r w:rsidR="00517012" w:rsidRPr="008A401A">
        <w:rPr>
          <w:rFonts w:eastAsiaTheme="minorEastAsia" w:cs="Arial"/>
          <w:lang w:val="en-GB" w:eastAsia="zh-CN"/>
        </w:rPr>
        <w:t xml:space="preserve">ria </w:t>
      </w:r>
      <w:r w:rsidR="00FB6D66" w:rsidRPr="008A401A">
        <w:rPr>
          <w:rFonts w:eastAsiaTheme="minorEastAsia" w:cs="Arial"/>
          <w:lang w:val="en-GB" w:eastAsia="zh-CN"/>
        </w:rPr>
        <w:t>were</w:t>
      </w:r>
      <w:r w:rsidR="00E01A50" w:rsidRPr="008A401A">
        <w:rPr>
          <w:rFonts w:eastAsiaTheme="minorEastAsia" w:cs="Arial"/>
          <w:lang w:val="en-GB" w:eastAsia="zh-CN"/>
        </w:rPr>
        <w:t xml:space="preserve"> considered as the </w:t>
      </w:r>
      <w:r w:rsidR="00601CBA" w:rsidRPr="008A401A">
        <w:rPr>
          <w:rFonts w:eastAsiaTheme="minorEastAsia" w:cs="Arial"/>
          <w:lang w:val="en-GB" w:eastAsia="zh-CN"/>
        </w:rPr>
        <w:t>principal objective</w:t>
      </w:r>
      <w:r w:rsidR="00B0627F" w:rsidRPr="008A401A">
        <w:rPr>
          <w:rFonts w:eastAsiaTheme="minorEastAsia" w:cs="Arial"/>
          <w:lang w:val="en-GB" w:eastAsia="zh-CN"/>
        </w:rPr>
        <w:t>s</w:t>
      </w:r>
      <w:r w:rsidR="00601CBA" w:rsidRPr="008A401A">
        <w:rPr>
          <w:rFonts w:eastAsiaTheme="minorEastAsia" w:cs="Arial"/>
          <w:lang w:val="en-GB" w:eastAsia="zh-CN"/>
        </w:rPr>
        <w:t xml:space="preserve"> </w:t>
      </w:r>
      <w:r w:rsidR="00B0627F" w:rsidRPr="008A401A">
        <w:rPr>
          <w:rFonts w:eastAsiaTheme="minorEastAsia" w:cs="Arial"/>
          <w:lang w:val="en-GB" w:eastAsia="zh-CN"/>
        </w:rPr>
        <w:t>in the early conceptual design.</w:t>
      </w:r>
      <w:r w:rsidR="00D35DA8" w:rsidRPr="008A401A">
        <w:rPr>
          <w:rFonts w:eastAsiaTheme="minorEastAsia" w:cs="Arial"/>
          <w:lang w:val="en-GB" w:eastAsia="zh-CN"/>
        </w:rPr>
        <w:t xml:space="preserve"> Safety </w:t>
      </w:r>
      <w:r w:rsidR="00FD47C8" w:rsidRPr="008A401A">
        <w:rPr>
          <w:rFonts w:eastAsiaTheme="minorEastAsia" w:cs="Arial"/>
          <w:lang w:val="en-GB" w:eastAsia="zh-CN"/>
        </w:rPr>
        <w:t>was treated as a</w:t>
      </w:r>
      <w:r w:rsidR="00726224" w:rsidRPr="008A401A">
        <w:rPr>
          <w:rFonts w:eastAsiaTheme="minorEastAsia" w:cs="Arial"/>
          <w:lang w:val="en-GB" w:eastAsia="zh-CN"/>
        </w:rPr>
        <w:t xml:space="preserve"> main objective in the</w:t>
      </w:r>
      <w:r w:rsidR="00FD47C8" w:rsidRPr="008A401A">
        <w:rPr>
          <w:rFonts w:eastAsiaTheme="minorEastAsia" w:cs="Arial"/>
          <w:lang w:val="en-GB" w:eastAsia="zh-CN"/>
        </w:rPr>
        <w:t xml:space="preserve"> detailed design </w:t>
      </w:r>
      <w:r w:rsidR="00C65F5B" w:rsidRPr="008A401A">
        <w:rPr>
          <w:rFonts w:eastAsiaTheme="minorEastAsia" w:cs="Arial"/>
          <w:lang w:val="en-GB" w:eastAsia="zh-CN"/>
        </w:rPr>
        <w:t>stage</w:t>
      </w:r>
      <w:r w:rsidR="00860B4A">
        <w:rPr>
          <w:rFonts w:eastAsiaTheme="minorEastAsia" w:cs="Arial" w:hint="eastAsia"/>
          <w:lang w:val="en-GB" w:eastAsia="zh-CN"/>
        </w:rPr>
        <w:t xml:space="preserve"> </w:t>
      </w:r>
      <w:r w:rsidR="00860B4A">
        <w:t>(Park et al., 2020; Park, Pasman, &amp; El-</w:t>
      </w:r>
      <w:proofErr w:type="spellStart"/>
      <w:r w:rsidR="00860B4A">
        <w:t>Halwagi</w:t>
      </w:r>
      <w:proofErr w:type="spellEnd"/>
      <w:r w:rsidR="00860B4A">
        <w:t>, 2022)</w:t>
      </w:r>
      <w:r w:rsidR="00C65F5B" w:rsidRPr="008A401A">
        <w:rPr>
          <w:rFonts w:eastAsiaTheme="minorEastAsia" w:cs="Arial"/>
          <w:lang w:val="en-GB" w:eastAsia="zh-CN"/>
        </w:rPr>
        <w:t xml:space="preserve">. </w:t>
      </w:r>
      <w:r w:rsidR="0043395C" w:rsidRPr="008A401A">
        <w:rPr>
          <w:rFonts w:eastAsiaTheme="minorEastAsia" w:cs="Arial"/>
          <w:lang w:val="en-GB" w:eastAsia="zh-CN"/>
        </w:rPr>
        <w:t>Hydrogen, as a new energy carrier with high potential, has received increasing attention in recent years</w:t>
      </w:r>
      <w:r w:rsidR="00563F0B" w:rsidRPr="008A401A">
        <w:rPr>
          <w:rFonts w:eastAsiaTheme="minorEastAsia" w:cs="Arial"/>
          <w:lang w:val="en-GB" w:eastAsia="zh-CN"/>
        </w:rPr>
        <w:t xml:space="preserve">. </w:t>
      </w:r>
      <w:r w:rsidR="00C24897" w:rsidRPr="008A401A">
        <w:rPr>
          <w:rFonts w:eastAsiaTheme="minorEastAsia" w:cs="Arial"/>
          <w:lang w:val="en-GB" w:eastAsia="zh-CN"/>
        </w:rPr>
        <w:t>Ho</w:t>
      </w:r>
      <w:r w:rsidR="001D5A7D" w:rsidRPr="008A401A">
        <w:rPr>
          <w:rFonts w:eastAsiaTheme="minorEastAsia" w:cs="Arial"/>
          <w:lang w:val="en-GB" w:eastAsia="zh-CN"/>
        </w:rPr>
        <w:t xml:space="preserve">wever, </w:t>
      </w:r>
      <w:r w:rsidR="002D72F8" w:rsidRPr="008A401A">
        <w:rPr>
          <w:rFonts w:eastAsiaTheme="minorEastAsia" w:cs="Arial"/>
          <w:lang w:val="en-GB" w:eastAsia="zh-CN"/>
        </w:rPr>
        <w:t>Hydrogen, as a highly hazardous gas, is of great significance for research on the in</w:t>
      </w:r>
      <w:r w:rsidR="00E53CED" w:rsidRPr="008A401A">
        <w:rPr>
          <w:rFonts w:eastAsiaTheme="minorEastAsia" w:cs="Arial"/>
          <w:lang w:val="en-GB" w:eastAsia="zh-CN"/>
        </w:rPr>
        <w:t>herent</w:t>
      </w:r>
      <w:r w:rsidR="002D72F8" w:rsidRPr="008A401A">
        <w:rPr>
          <w:rFonts w:eastAsiaTheme="minorEastAsia" w:cs="Arial"/>
          <w:lang w:val="en-GB" w:eastAsia="zh-CN"/>
        </w:rPr>
        <w:t xml:space="preserve"> safety of its related hydrogen-related processes.</w:t>
      </w:r>
      <w:r w:rsidR="009076A5" w:rsidRPr="008A401A">
        <w:rPr>
          <w:rFonts w:eastAsiaTheme="minorEastAsia" w:cs="Arial"/>
          <w:lang w:val="en-GB" w:eastAsia="zh-CN"/>
        </w:rPr>
        <w:t xml:space="preserve"> </w:t>
      </w:r>
      <w:r w:rsidR="00F91664" w:rsidRPr="008A401A">
        <w:rPr>
          <w:rFonts w:eastAsiaTheme="minorEastAsia" w:cs="Arial"/>
          <w:lang w:val="en-GB" w:eastAsia="zh-CN"/>
        </w:rPr>
        <w:t xml:space="preserve">Many research performed the </w:t>
      </w:r>
      <w:r w:rsidR="00087EA8" w:rsidRPr="008A401A">
        <w:rPr>
          <w:rFonts w:eastAsiaTheme="minorEastAsia" w:cs="Arial"/>
          <w:lang w:val="en-GB" w:eastAsia="zh-CN"/>
        </w:rPr>
        <w:t>risk</w:t>
      </w:r>
      <w:r w:rsidR="00F91664" w:rsidRPr="008A401A">
        <w:rPr>
          <w:rFonts w:eastAsiaTheme="minorEastAsia" w:cs="Arial"/>
          <w:lang w:val="en-GB" w:eastAsia="zh-CN"/>
        </w:rPr>
        <w:t xml:space="preserve"> assessment on the hydrogen related systems</w:t>
      </w:r>
      <w:r w:rsidR="00087EA8" w:rsidRPr="008A401A">
        <w:rPr>
          <w:rFonts w:eastAsiaTheme="minorEastAsia" w:cs="Arial"/>
          <w:lang w:val="en-GB" w:eastAsia="zh-CN"/>
        </w:rPr>
        <w:t xml:space="preserve"> and </w:t>
      </w:r>
      <w:r w:rsidR="00FE4512" w:rsidRPr="008A401A">
        <w:rPr>
          <w:rFonts w:eastAsiaTheme="minorEastAsia" w:cs="Arial"/>
          <w:lang w:val="en-GB" w:eastAsia="zh-CN"/>
        </w:rPr>
        <w:t>established many inherent safety assessment approaches</w:t>
      </w:r>
      <w:r w:rsidR="00060EED" w:rsidRPr="008A401A">
        <w:rPr>
          <w:rFonts w:eastAsiaTheme="minorEastAsia" w:cs="Arial"/>
          <w:lang w:val="en-GB" w:eastAsia="zh-CN"/>
        </w:rPr>
        <w:t xml:space="preserve">. But of all the approaches, </w:t>
      </w:r>
      <w:r w:rsidR="003A2A56" w:rsidRPr="008A401A">
        <w:rPr>
          <w:rFonts w:eastAsiaTheme="minorEastAsia" w:cs="Arial"/>
          <w:lang w:val="en-GB" w:eastAsia="zh-CN"/>
        </w:rPr>
        <w:t xml:space="preserve">selecting a suitable indicator which can </w:t>
      </w:r>
      <w:r w:rsidR="00A06810" w:rsidRPr="008A401A">
        <w:rPr>
          <w:rFonts w:eastAsiaTheme="minorEastAsia" w:cs="Arial"/>
          <w:lang w:val="en-GB" w:eastAsia="zh-CN"/>
        </w:rPr>
        <w:t xml:space="preserve">correctly reflect the safety performance of the hydrogen-related systems is </w:t>
      </w:r>
      <w:r w:rsidR="00DE17C7" w:rsidRPr="008A401A">
        <w:rPr>
          <w:rFonts w:eastAsiaTheme="minorEastAsia" w:cs="Arial"/>
          <w:lang w:val="en-GB" w:eastAsia="zh-CN"/>
        </w:rPr>
        <w:t xml:space="preserve">still a hard work. </w:t>
      </w:r>
      <w:r w:rsidR="001B09FE" w:rsidRPr="008A401A">
        <w:rPr>
          <w:rFonts w:eastAsiaTheme="minorEastAsia" w:cs="Arial"/>
          <w:lang w:val="en-GB" w:eastAsia="zh-CN"/>
        </w:rPr>
        <w:t>There are many studies to establish the methodol</w:t>
      </w:r>
      <w:r w:rsidR="00765FB5" w:rsidRPr="008A401A">
        <w:rPr>
          <w:rFonts w:eastAsiaTheme="minorEastAsia" w:cs="Arial"/>
          <w:lang w:val="en-GB" w:eastAsia="zh-CN"/>
        </w:rPr>
        <w:t xml:space="preserve">ogies of inherent safety. </w:t>
      </w:r>
      <w:r w:rsidR="006F1649" w:rsidRPr="008A401A">
        <w:rPr>
          <w:rFonts w:eastAsiaTheme="minorEastAsia" w:cs="Arial"/>
          <w:lang w:val="en-GB" w:eastAsia="zh-CN"/>
        </w:rPr>
        <w:t xml:space="preserve">Gao </w:t>
      </w:r>
      <w:r w:rsidR="00A947F4" w:rsidRPr="008A401A">
        <w:rPr>
          <w:rFonts w:eastAsiaTheme="minorEastAsia" w:cs="Arial"/>
          <w:lang w:val="en-GB" w:eastAsia="zh-CN"/>
        </w:rPr>
        <w:t>presents a mechanistic framework for assessing and mitigating hydrogen leakage risks in Mobile Hydrogen</w:t>
      </w:r>
      <w:r w:rsidR="005C58AF" w:rsidRPr="008A401A">
        <w:rPr>
          <w:rFonts w:eastAsiaTheme="minorEastAsia" w:cs="Arial"/>
          <w:lang w:val="en-GB" w:eastAsia="zh-CN"/>
        </w:rPr>
        <w:t xml:space="preserve"> Refuelling</w:t>
      </w:r>
      <w:r w:rsidR="00A947F4" w:rsidRPr="008A401A">
        <w:rPr>
          <w:rFonts w:eastAsiaTheme="minorEastAsia" w:cs="Arial"/>
          <w:lang w:val="en-GB" w:eastAsia="zh-CN"/>
        </w:rPr>
        <w:t xml:space="preserve"> Stations (MHRS) based on inherent safety concepts. A bow-tie model is proposed to identify potential hazards, event pathways, and consequences</w:t>
      </w:r>
      <w:r w:rsidR="00A947F4" w:rsidRPr="008A401A">
        <w:rPr>
          <w:rFonts w:eastAsiaTheme="minorEastAsia" w:cs="Arial"/>
          <w:lang w:val="en-GB" w:eastAsia="zh-CN"/>
        </w:rPr>
        <w:fldChar w:fldCharType="begin"/>
      </w:r>
      <w:r w:rsidR="00A947F4" w:rsidRPr="008A401A">
        <w:rPr>
          <w:rFonts w:eastAsiaTheme="minorEastAsia" w:cs="Arial"/>
          <w:lang w:val="en-GB" w:eastAsia="zh-CN"/>
        </w:rPr>
        <w:instrText xml:space="preserve"> ADDIN ZOTERO_ITEM CSL_CITATION {"citationID":"VibohNWv","properties":{"formattedCitation":"(Gao {\\i{}et al.}, 2024)","plainCitation":"(Gao et al., 2024)","noteIndex":0},"citationItems":[{"id":269,"uris":["http://zotero.org/users/15751543/items/D79V3LGD"],"itemData":{"id":269,"type":"article-journal","abstract":"This study presents a mechanistic framework for assessing and mitigating hydrogen leakage risks in Mobile Hydrogen Refueling Stations (MHRS) based on inherent safety concepts. A bow-tie model is proposed to identify potential hazards, event pathways, and consequences. Subsequently, this model is mapped into Bayesian Networks (BN) to enable quantitative risk assessment. Fuzzy set theory is adopted to address the uncertainty of prior probabilities, using a Noisy-MAX model to optimize the BN conditional probabilities. To mitigate leakage risks, a dedicated inherently safer design checklist is developed to identify opportunities for incorporating inherent safety. A case study demonstrates that the leakage potentials decrease from 0.2600 to 0.1997, and the leakage consequences decrease by approximately 22%. This work presents a novel mechanism using inherent safety to reduce the hydrogen leakage risk of MHRS, which is useful for creating an inherently safer MHRS with fundamental and natural robustness against hydrogen leakage.","container-title":"International Journal of Hydrogen Energy","DOI":"10.1016/j.ijhydene.2024.08.176","ISSN":"03603199","journalAbbreviation":"International Journal of Hydrogen Energy","language":"en","page":"1370-1384","source":"DOI.org (Crossref)","title":"A mechanistic framework for the leakage risk reduction of mobile hydrogen refueling stations based on inherent safety concepts","volume":"83","author":[{"family":"Gao","given":"Xiaoming"},{"family":"Chen","given":"Guohua"},{"family":"Pu","given":"Wei"},{"family":"Xiong","given":"Caiyi"}],"issued":{"date-parts":[["2024",9]]}}}],"schema":"https://github.com/citation-style-language/schema/raw/master/csl-citation.json"} </w:instrText>
      </w:r>
      <w:r w:rsidR="00A947F4" w:rsidRPr="008A401A">
        <w:rPr>
          <w:rFonts w:eastAsiaTheme="minorEastAsia" w:cs="Arial"/>
          <w:lang w:val="en-GB" w:eastAsia="zh-CN"/>
        </w:rPr>
        <w:fldChar w:fldCharType="separate"/>
      </w:r>
      <w:r w:rsidR="00A947F4" w:rsidRPr="008A401A">
        <w:rPr>
          <w:rFonts w:cs="Arial"/>
          <w:szCs w:val="24"/>
        </w:rPr>
        <w:t xml:space="preserve">(Gao </w:t>
      </w:r>
      <w:r w:rsidR="00A947F4" w:rsidRPr="008A401A">
        <w:rPr>
          <w:rFonts w:cs="Arial"/>
          <w:i/>
          <w:iCs/>
          <w:szCs w:val="24"/>
        </w:rPr>
        <w:t>et al.</w:t>
      </w:r>
      <w:r w:rsidR="00A947F4" w:rsidRPr="008A401A">
        <w:rPr>
          <w:rFonts w:cs="Arial"/>
          <w:szCs w:val="24"/>
        </w:rPr>
        <w:t>, 2024)</w:t>
      </w:r>
      <w:r w:rsidR="00A947F4" w:rsidRPr="008A401A">
        <w:rPr>
          <w:rFonts w:eastAsiaTheme="minorEastAsia" w:cs="Arial"/>
          <w:lang w:val="en-GB" w:eastAsia="zh-CN"/>
        </w:rPr>
        <w:fldChar w:fldCharType="end"/>
      </w:r>
      <w:r w:rsidR="00A947F4" w:rsidRPr="008A401A">
        <w:rPr>
          <w:rFonts w:eastAsiaTheme="minorEastAsia" w:cs="Arial"/>
          <w:lang w:val="en-GB" w:eastAsia="zh-CN"/>
        </w:rPr>
        <w:t>.</w:t>
      </w:r>
      <w:r w:rsidR="00E645C8" w:rsidRPr="008A401A">
        <w:rPr>
          <w:rFonts w:eastAsiaTheme="minorEastAsia" w:cs="Arial"/>
          <w:lang w:val="en-GB" w:eastAsia="zh-CN"/>
        </w:rPr>
        <w:t xml:space="preserve"> Liu </w:t>
      </w:r>
      <w:r w:rsidR="00EA64D2" w:rsidRPr="008A401A">
        <w:rPr>
          <w:rFonts w:eastAsiaTheme="minorEastAsia" w:cs="Arial"/>
          <w:lang w:val="en-GB" w:eastAsia="zh-CN"/>
        </w:rPr>
        <w:t>introduced a chemical reactive risk index (CRRI), filling the gap in pressure risk assessment. CRRI integrates a semiquantitative method based on risk analysis principles, consisting of the probability of reaction runaway and the severity of its consequences</w:t>
      </w:r>
      <w:r w:rsidR="00EA64D2" w:rsidRPr="008A401A">
        <w:rPr>
          <w:rFonts w:eastAsiaTheme="minorEastAsia" w:cs="Arial"/>
          <w:lang w:val="en-GB" w:eastAsia="zh-CN"/>
        </w:rPr>
        <w:fldChar w:fldCharType="begin"/>
      </w:r>
      <w:r w:rsidR="00EA64D2" w:rsidRPr="008A401A">
        <w:rPr>
          <w:rFonts w:eastAsiaTheme="minorEastAsia" w:cs="Arial"/>
          <w:lang w:val="en-GB" w:eastAsia="zh-CN"/>
        </w:rPr>
        <w:instrText xml:space="preserve"> ADDIN ZOTERO_ITEM CSL_CITATION {"citationID":"qCbUwGXZ","properties":{"formattedCitation":"(Liu {\\i{}et al.}, 2024)","plainCitation":"(Liu et al., 2024)","noteIndex":0},"citationItems":[{"id":144,"uris":["http://zotero.org/users/15751543/items/Z2JX7HMY"],"itemData":{"id":144,"type":"article-journal","abstract":"Chemical reactive hazard is one of the main causes for accidents in chemical production, inherent safety indexing methodology is considered the most effective method for reactive hazard evaluation. Traditional reactive inherent safety indices often neglect pressure-related risks in runaway scenarios. This work introduced a chemical reactive risk index (CRRI), filling the gap in pressure risk assessment. CRRI integrates a semiquantitative method based on risk analysis principles, consisting of the probability of reaction runaway and the severity of its consequences. The consequence of the whole runaway process is evaluated, and the severity of thermal and pressure effects are considered comprehensively. The PVA, TBHP and PFA production processes are utilized as case studies to demonstrate the application process and evaluation effectiveness of CRRI. The results illustrate the superiority of CRRI in comprehensive assessment of reaction risks, indicating CRRI as a reliable safety assessment tool for chemical reactions, helping to select inherently safer reaction processes.","container-title":"Process Safety and Environmental Protection","DOI":"10.1016/j.psep.2024.05.019","ISSN":"09575820","journalAbbreviation":"Process Safety and Environmental Protection","language":"en","page":"1586-1595","source":"DOI.org (Crossref)","title":"A novel inherent safety index for reactive hazard evaluation integrating thermal and pressure effects","volume":"187","author":[{"family":"Liu","given":"Zixuan"},{"family":"Zhu","given":"Jiaxing"},{"family":"Sun","given":"Feng"},{"family":"Sun","given":"Bing"},{"family":"Hao","given":"Lin"},{"family":"Wei","given":"Hongyuan"}],"issued":{"date-parts":[["2024",7]]}}}],"schema":"https://github.com/citation-style-language/schema/raw/master/csl-citation.json"} </w:instrText>
      </w:r>
      <w:r w:rsidR="00EA64D2" w:rsidRPr="008A401A">
        <w:rPr>
          <w:rFonts w:eastAsiaTheme="minorEastAsia" w:cs="Arial"/>
          <w:lang w:val="en-GB" w:eastAsia="zh-CN"/>
        </w:rPr>
        <w:fldChar w:fldCharType="separate"/>
      </w:r>
      <w:r w:rsidR="00EA64D2" w:rsidRPr="008A401A">
        <w:rPr>
          <w:rFonts w:cs="Arial"/>
          <w:szCs w:val="24"/>
        </w:rPr>
        <w:t xml:space="preserve">(Liu </w:t>
      </w:r>
      <w:r w:rsidR="00EA64D2" w:rsidRPr="008A401A">
        <w:rPr>
          <w:rFonts w:cs="Arial"/>
          <w:i/>
          <w:iCs/>
          <w:szCs w:val="24"/>
        </w:rPr>
        <w:t>et al.</w:t>
      </w:r>
      <w:r w:rsidR="00EA64D2" w:rsidRPr="008A401A">
        <w:rPr>
          <w:rFonts w:cs="Arial"/>
          <w:szCs w:val="24"/>
        </w:rPr>
        <w:t>, 2024)</w:t>
      </w:r>
      <w:r w:rsidR="00EA64D2" w:rsidRPr="008A401A">
        <w:rPr>
          <w:rFonts w:eastAsiaTheme="minorEastAsia" w:cs="Arial"/>
          <w:lang w:val="en-GB" w:eastAsia="zh-CN"/>
        </w:rPr>
        <w:fldChar w:fldCharType="end"/>
      </w:r>
      <w:r w:rsidR="00EA64D2" w:rsidRPr="008A401A">
        <w:rPr>
          <w:rFonts w:eastAsiaTheme="minorEastAsia" w:cs="Arial"/>
          <w:lang w:val="en-GB" w:eastAsia="zh-CN"/>
        </w:rPr>
        <w:t>.</w:t>
      </w:r>
      <w:r w:rsidR="001E08A6" w:rsidRPr="008A401A">
        <w:rPr>
          <w:rFonts w:eastAsiaTheme="minorEastAsia" w:cs="Arial"/>
          <w:lang w:val="en-GB" w:eastAsia="zh-CN"/>
        </w:rPr>
        <w:t xml:space="preserve"> Gao </w:t>
      </w:r>
      <w:r w:rsidR="002448C3" w:rsidRPr="008A401A">
        <w:rPr>
          <w:rFonts w:eastAsiaTheme="minorEastAsia" w:cs="Arial"/>
          <w:lang w:val="en-GB" w:eastAsia="zh-CN"/>
        </w:rPr>
        <w:t xml:space="preserve">introduced the inherent safety concept to minimize laboratory hazards and developed a dedicated implementation tool called Generic Laboratory Safety Metric (GLSM) which </w:t>
      </w:r>
      <w:r w:rsidR="00E73028" w:rsidRPr="008A401A">
        <w:rPr>
          <w:rFonts w:eastAsiaTheme="minorEastAsia" w:cs="Arial"/>
          <w:lang w:val="en-GB" w:eastAsia="zh-CN"/>
        </w:rPr>
        <w:t xml:space="preserve">presented a set of generic solutions to laboratory retrofitting towards inherent safety with a novel GLSM as the implementation </w:t>
      </w:r>
      <w:r w:rsidR="00E73028" w:rsidRPr="008A401A">
        <w:rPr>
          <w:rFonts w:eastAsiaTheme="minorEastAsia" w:cs="Arial"/>
          <w:lang w:val="en-GB" w:eastAsia="zh-CN"/>
        </w:rPr>
        <w:lastRenderedPageBreak/>
        <w:t>tool</w:t>
      </w:r>
      <w:r w:rsidR="00E73028" w:rsidRPr="008A401A">
        <w:rPr>
          <w:rFonts w:eastAsiaTheme="minorEastAsia" w:cs="Arial"/>
          <w:lang w:val="en-GB" w:eastAsia="zh-CN"/>
        </w:rPr>
        <w:fldChar w:fldCharType="begin"/>
      </w:r>
      <w:r w:rsidR="00E73028" w:rsidRPr="008A401A">
        <w:rPr>
          <w:rFonts w:eastAsiaTheme="minorEastAsia" w:cs="Arial"/>
          <w:lang w:val="en-GB" w:eastAsia="zh-CN"/>
        </w:rPr>
        <w:instrText xml:space="preserve"> ADDIN ZOTERO_ITEM CSL_CITATION {"citationID":"tG2clcME","properties":{"formattedCitation":"(Gao {\\i{}et al.}, 2023)","plainCitation":"(Gao et al., 2023)","noteIndex":0},"citationItems":[{"id":263,"uris":["http://zotero.org/users/15751543/items/V6WDP5TP"],"itemData":{"id":263,"type":"article-journal","abstract":"Over the years, a number of high-profile laboratory accidents involving severe injuries, fatalities, and economic losses have been reported, prompting a significant increase in efforts towards laboratory safety. However, the dominant safety measures rely excessively on add-on safeguards such as sprinklers and respirators and pay little attention to reducing the hazardous factors at their sources. This study introduced the inherent safety concept to minimize laboratory hazards and developed a dedicated implementation tool called Generic Laboratory Safety Metric (GLSM). The Traditional Laboratory Safety Checklist (TLSC) was first used to represent the safety indicators, and then the Precedence Chart (PC) and Bayesian Networks (BN) methods were used to reconcile the safety indicators to develop the GLSM. The developed GLSM was subsequently demonstrated through a case study of a university laboratory. The results revealed that the safety level increased from 2.44 to 3.52 after the risk-based inherently safer retrofitting, thus creating laboratory conditions with a relatively satisfactory safety level. This work presented a set of generic solutions to laboratory retrofitting towards inherent safety with a novel GLSM as the implementation tool. The proposed GLSM would contribute to risk quantification and identification of key risk factors for assigning targeted and fundamental safety measures to achieve inherently safer laboratories.","container-title":"Journal of Loss Prevention in the Process Industries","DOI":"10.1016/j.jlp.2023.105036","ISSN":"09504230","journalAbbreviation":"Journal of Loss Prevention in the Process Industries","language":"en","page":"105036","source":"DOI.org (Crossref)","title":"Bayesian networks based laboratory retrofitting towards inherent safety: A risk-based implementation framework","title-short":"Bayesian networks based laboratory retrofitting towards inherent safety","volume":"83","author":[{"family":"Gao","given":"Xiaoming"},{"family":"Abdul Raman","given":"Abdul Aziz"},{"family":"Hizaddin","given":"Hanee F."},{"family":"Buthiyappan","given":"Archina"},{"family":"Bello","given":"Mustapha M."}],"issued":{"date-parts":[["2023",7]]}}}],"schema":"https://github.com/citation-style-language/schema/raw/master/csl-citation.json"} </w:instrText>
      </w:r>
      <w:r w:rsidR="00E73028" w:rsidRPr="008A401A">
        <w:rPr>
          <w:rFonts w:eastAsiaTheme="minorEastAsia" w:cs="Arial"/>
          <w:lang w:val="en-GB" w:eastAsia="zh-CN"/>
        </w:rPr>
        <w:fldChar w:fldCharType="separate"/>
      </w:r>
      <w:r w:rsidR="00E73028" w:rsidRPr="008A401A">
        <w:rPr>
          <w:rFonts w:cs="Arial"/>
          <w:szCs w:val="24"/>
        </w:rPr>
        <w:t xml:space="preserve">(Gao </w:t>
      </w:r>
      <w:r w:rsidR="00E73028" w:rsidRPr="008A401A">
        <w:rPr>
          <w:rFonts w:cs="Arial"/>
          <w:i/>
          <w:iCs/>
          <w:szCs w:val="24"/>
        </w:rPr>
        <w:t>et al.</w:t>
      </w:r>
      <w:r w:rsidR="00E73028" w:rsidRPr="008A401A">
        <w:rPr>
          <w:rFonts w:cs="Arial"/>
          <w:szCs w:val="24"/>
        </w:rPr>
        <w:t>, 2023)</w:t>
      </w:r>
      <w:r w:rsidR="00E73028" w:rsidRPr="008A401A">
        <w:rPr>
          <w:rFonts w:eastAsiaTheme="minorEastAsia" w:cs="Arial"/>
          <w:lang w:val="en-GB" w:eastAsia="zh-CN"/>
        </w:rPr>
        <w:fldChar w:fldCharType="end"/>
      </w:r>
      <w:r w:rsidR="00E73028" w:rsidRPr="008A401A">
        <w:rPr>
          <w:rFonts w:eastAsiaTheme="minorEastAsia" w:cs="Arial"/>
          <w:lang w:val="en-GB" w:eastAsia="zh-CN"/>
        </w:rPr>
        <w:t xml:space="preserve">. </w:t>
      </w:r>
      <w:r w:rsidR="00BF21BE" w:rsidRPr="008A401A">
        <w:rPr>
          <w:rFonts w:eastAsiaTheme="minorEastAsia" w:cs="Arial"/>
          <w:lang w:val="en-GB" w:eastAsia="zh-CN"/>
        </w:rPr>
        <w:t xml:space="preserve">Norouzi </w:t>
      </w:r>
      <w:r w:rsidR="00CA3F20" w:rsidRPr="008A401A">
        <w:rPr>
          <w:rFonts w:eastAsiaTheme="minorEastAsia" w:cs="Arial"/>
          <w:lang w:val="en-GB" w:eastAsia="zh-CN"/>
        </w:rPr>
        <w:t>introduces the Anticipated Inherent Risk Index (AIRI), a robust tool for rapid risk assessment of the worst anticipated scenarios. It incorporates Furthest Effect Distance of the release from the largest connection, by software, and Representative Failure frequency, which is a relative dataset calculated from renown databases</w:t>
      </w:r>
      <w:r w:rsidR="007901BC" w:rsidRPr="008A401A">
        <w:rPr>
          <w:rFonts w:eastAsiaTheme="minorEastAsia" w:cs="Arial"/>
          <w:lang w:val="en-GB" w:eastAsia="zh-CN"/>
        </w:rPr>
        <w:t xml:space="preserve"> </w:t>
      </w:r>
      <w:r w:rsidR="00CA3F20" w:rsidRPr="008A401A">
        <w:rPr>
          <w:rFonts w:eastAsiaTheme="minorEastAsia" w:cs="Arial"/>
          <w:lang w:val="en-GB" w:eastAsia="zh-CN"/>
        </w:rPr>
        <w:fldChar w:fldCharType="begin"/>
      </w:r>
      <w:r w:rsidR="00CA3F20" w:rsidRPr="008A401A">
        <w:rPr>
          <w:rFonts w:eastAsiaTheme="minorEastAsia" w:cs="Arial"/>
          <w:lang w:val="en-GB" w:eastAsia="zh-CN"/>
        </w:rPr>
        <w:instrText xml:space="preserve"> ADDIN ZOTERO_ITEM CSL_CITATION {"citationID":"B2VAr5nG","properties":{"formattedCitation":"(Norouzi, Baradaran and Sobati, 2024)","plainCitation":"(Norouzi, Baradaran and Sobati, 2024)","noteIndex":0},"citationItems":[{"id":141,"uris":["http://zotero.org/users/15751543/items/4XD67W8D"],"itemData":{"id":141,"type":"article-journal","abstract":"Inherently Safer Design (ISD), as one of the most fundamental approaches to process safety, focuses on the innate design features. Numerous tools have been developed to assess ISD and risk-based indices are one of the most elevated of them. Existing indices are limited in modelling consequences or are challenging to adapt in terms of probability. This study introduces the Anticipated Inherent Risk Index (AIRI), a robust tool for rapid risk assessment of the worst anticipated scenarios. It incorporates Furthest Effect Distance of the release from the largest connection, by software, and Representative Failure frequency, which is a relative dataset calculated from renown databases. This presents a relative risk map upon major consequences and their likelihood. AIRI applied to a PDH Fractionation Subunits shows that Heat Pump Compressor Suction Drum (AIRI≈3399) in PP Splitter Section, followed by Propylene Trim Condenser (AIRI≈1931) and PP Splitter Reboiler/Condenser (AIRI≈1798) are the equipment with the highest risk. AIRI is a competent tool for early high-level analysis of equipment risk, which gives useful indications on design and how to improve it. This tool also has the potential to be equipped with vaster frequency datasets and effects analysis and to be incorporated into other process safety studies.","container-title":"Process Safety and Environmental Protection","DOI":"10.1016/j.psep.2024.09.087","ISSN":"09575820","journalAbbreviation":"Process Safety and Environmental Protection","language":"en","page":"2165-2177","source":"DOI.org (Crossref)","title":"Developing a novel anticipated inherent risk assessment approach applicable in early stages of process design","volume":"191","author":[{"family":"Norouzi","given":"Hamed"},{"family":"Baradaran","given":"Soroush"},{"family":"Sobati","given":"Mohammad Amin"}],"issued":{"date-parts":[["2024",11]]}}}],"schema":"https://github.com/citation-style-language/schema/raw/master/csl-citation.json"} </w:instrText>
      </w:r>
      <w:r w:rsidR="00CA3F20" w:rsidRPr="008A401A">
        <w:rPr>
          <w:rFonts w:eastAsiaTheme="minorEastAsia" w:cs="Arial"/>
          <w:lang w:val="en-GB" w:eastAsia="zh-CN"/>
        </w:rPr>
        <w:fldChar w:fldCharType="separate"/>
      </w:r>
      <w:r w:rsidR="00CA3F20" w:rsidRPr="008A401A">
        <w:rPr>
          <w:rFonts w:eastAsiaTheme="minorEastAsia" w:cs="Arial"/>
        </w:rPr>
        <w:t>(Norouzi, Baradaran and Sobati, 2024)</w:t>
      </w:r>
      <w:r w:rsidR="00CA3F20" w:rsidRPr="008A401A">
        <w:rPr>
          <w:rFonts w:eastAsiaTheme="minorEastAsia" w:cs="Arial"/>
          <w:lang w:val="en-GB" w:eastAsia="zh-CN"/>
        </w:rPr>
        <w:fldChar w:fldCharType="end"/>
      </w:r>
      <w:r w:rsidR="00CA3F20" w:rsidRPr="008A401A">
        <w:rPr>
          <w:rFonts w:eastAsiaTheme="minorEastAsia" w:cs="Arial"/>
          <w:lang w:val="en-GB" w:eastAsia="zh-CN"/>
        </w:rPr>
        <w:t xml:space="preserve">. </w:t>
      </w:r>
      <w:r w:rsidR="00FB44A2" w:rsidRPr="008A401A">
        <w:rPr>
          <w:rFonts w:eastAsiaTheme="minorEastAsia" w:cs="Arial"/>
          <w:lang w:val="en-GB" w:eastAsia="zh-CN"/>
        </w:rPr>
        <w:t xml:space="preserve">Pu </w:t>
      </w:r>
      <w:r w:rsidR="001A63A9" w:rsidRPr="008A401A">
        <w:rPr>
          <w:rFonts w:eastAsiaTheme="minorEastAsia" w:cs="Arial"/>
          <w:lang w:val="en-GB" w:eastAsia="zh-CN"/>
        </w:rPr>
        <w:t>developed a Process Plant Healthiness Metric (PPHM) for generating holistic inherently healthier alternatives via the proposed Health Risk Management Framework (HRMF)</w:t>
      </w:r>
      <w:r w:rsidR="00A71D50" w:rsidRPr="008A401A">
        <w:rPr>
          <w:rFonts w:eastAsiaTheme="minorEastAsia" w:cs="Arial"/>
          <w:lang w:val="en-GB" w:eastAsia="zh-CN"/>
        </w:rPr>
        <w:fldChar w:fldCharType="begin"/>
      </w:r>
      <w:r w:rsidR="005F0D65" w:rsidRPr="008A401A">
        <w:rPr>
          <w:rFonts w:eastAsiaTheme="minorEastAsia" w:cs="Arial"/>
          <w:lang w:val="en-GB" w:eastAsia="zh-CN"/>
        </w:rPr>
        <w:instrText xml:space="preserve"> ADDIN ZOTERO_ITEM CSL_CITATION {"citationID":"QXLzit4C","properties":{"formattedCitation":"(Pu, Raman, {\\i{}et al.}, 2024)","plainCitation":"(Pu, Raman, et al., 2024)","noteIndex":0},"citationItems":[{"id":142,"uris":["http://zotero.org/users/15751543/items/NBST9LWD"],"itemData":{"id":142,"type":"article-journal","abstract":"Emerging from inherent safety, Inherent Occupational Health (IOH) is gaining increasing attention for its role in fundamentally mitigating potential hazards that may adversely affect worker health. Conventional IOH approaches mainly focus on hazards associated with chemical processes, with limited attention given to addressing comprehensive health hazards (e.g., noise, vibration, and ergonomic issues) that may result in occupational issues like hearing loss, musculoskeletal problems, and respiratory conditions. An implementation tool for assessing the overall healthiness of process plant alternatives is yet to be established. To address these gaps, this work developed a Process Plant Healthiness Metric (PPHM) for generating holistic inherently healthier alternatives via the proposed Health Risk Management Framework (HRMF). Firstly, a generic health index framework was established. On this basis, multidimensional health risks were identified and measured by the Residual Hazard Index and Failure Modes and Effects Analysis. Fuzzy Logic was adopted to address data sensitivity and inconsistency. Subsequently, Fuzzy Logic and Analytic Hierarchy Process were integrated into Bayesian Networks to develop the PPHM. To cope with key risk factors, the HRMF based on inherent safety concept is proposed and employed as a mind-trigger. The PPHM was validated by a case study of a methyl allyl chloride plant. The results revealed that following the implementation of HRMF-based interventions, the value of PPHM increased from 2.17 to 3.87, and the unhealthiness rate decreased from 0.0257 to 0.000558, thereby establishing a relatively healthier alternative. This work enables a holistic identification, assessment, and mitigation of comprehensive health risks within process plants during the design phase. It facilitates a shift in the inherently safer design ideology from process health to plant health.","container-title":"Process Safety and Environmental Protection","DOI":"10.1016/j.psep.2024.02.017","ISSN":"09575820","journalAbbreviation":"Process Safety and Environmental Protection","language":"en","page":"804-822","source":"DOI.org (Crossref)","title":"Development of comprehensive healthier process plants based on inherent safety concept","volume":"184","author":[{"family":"Pu","given":"Wei"},{"family":"Raman","given":"Abdul Aziz Abdul"},{"family":"Hamid","given":"Mahar Diana"},{"family":"Gao","given":"Xiaoming"},{"family":"Buthiyappan","given":"Archina"}],"issued":{"date-parts":[["2024",4]]}}}],"schema":"https://github.com/citation-style-language/schema/raw/master/csl-citation.json"} </w:instrText>
      </w:r>
      <w:r w:rsidR="00A71D50" w:rsidRPr="008A401A">
        <w:rPr>
          <w:rFonts w:eastAsiaTheme="minorEastAsia" w:cs="Arial"/>
          <w:lang w:val="en-GB" w:eastAsia="zh-CN"/>
        </w:rPr>
        <w:fldChar w:fldCharType="separate"/>
      </w:r>
      <w:r w:rsidR="005F0D65" w:rsidRPr="008A401A">
        <w:rPr>
          <w:rFonts w:cs="Arial"/>
          <w:szCs w:val="24"/>
        </w:rPr>
        <w:t xml:space="preserve">(Pu, Raman, </w:t>
      </w:r>
      <w:r w:rsidR="005F0D65" w:rsidRPr="008A401A">
        <w:rPr>
          <w:rFonts w:cs="Arial"/>
          <w:i/>
          <w:iCs/>
          <w:szCs w:val="24"/>
        </w:rPr>
        <w:t>et al.</w:t>
      </w:r>
      <w:r w:rsidR="005F0D65" w:rsidRPr="008A401A">
        <w:rPr>
          <w:rFonts w:cs="Arial"/>
          <w:szCs w:val="24"/>
        </w:rPr>
        <w:t>, 2024)</w:t>
      </w:r>
      <w:r w:rsidR="00A71D50" w:rsidRPr="008A401A">
        <w:rPr>
          <w:rFonts w:eastAsiaTheme="minorEastAsia" w:cs="Arial"/>
          <w:lang w:val="en-GB" w:eastAsia="zh-CN"/>
        </w:rPr>
        <w:fldChar w:fldCharType="end"/>
      </w:r>
      <w:r w:rsidR="001A63A9" w:rsidRPr="008A401A">
        <w:rPr>
          <w:rFonts w:eastAsiaTheme="minorEastAsia" w:cs="Arial"/>
          <w:lang w:val="en-GB" w:eastAsia="zh-CN"/>
        </w:rPr>
        <w:t>.</w:t>
      </w:r>
      <w:r w:rsidR="00A71D50" w:rsidRPr="008A401A">
        <w:rPr>
          <w:rFonts w:eastAsiaTheme="minorEastAsia" w:cs="Arial"/>
          <w:lang w:val="en-GB" w:eastAsia="zh-CN"/>
        </w:rPr>
        <w:t xml:space="preserve"> </w:t>
      </w:r>
      <w:r w:rsidR="002A619B" w:rsidRPr="008A401A">
        <w:rPr>
          <w:rFonts w:eastAsiaTheme="minorEastAsia" w:cs="Arial"/>
          <w:lang w:val="en-GB" w:eastAsia="zh-CN"/>
        </w:rPr>
        <w:t xml:space="preserve">Qian </w:t>
      </w:r>
      <w:r w:rsidR="00ED3C38" w:rsidRPr="008A401A">
        <w:rPr>
          <w:rFonts w:eastAsiaTheme="minorEastAsia" w:cs="Arial"/>
          <w:lang w:val="en-GB" w:eastAsia="zh-CN"/>
        </w:rPr>
        <w:t xml:space="preserve">proposed </w:t>
      </w:r>
      <w:r w:rsidR="003E2FD0" w:rsidRPr="008A401A">
        <w:rPr>
          <w:rFonts w:eastAsiaTheme="minorEastAsia" w:cs="Arial"/>
          <w:lang w:val="en-GB" w:eastAsia="zh-CN"/>
        </w:rPr>
        <w:t>a semi-quantitative risk-based index, named the Inherent Process Risk Index (IPRI), is proposed to evaluate a process’s inherent safety from first</w:t>
      </w:r>
      <w:r w:rsidR="005C58AF" w:rsidRPr="008A401A">
        <w:rPr>
          <w:rFonts w:eastAsiaTheme="minorEastAsia" w:cs="Arial"/>
          <w:lang w:val="en-GB" w:eastAsia="zh-CN"/>
        </w:rPr>
        <w:t xml:space="preserve"> </w:t>
      </w:r>
      <w:r w:rsidR="003E2FD0" w:rsidRPr="008A401A">
        <w:rPr>
          <w:rFonts w:eastAsiaTheme="minorEastAsia" w:cs="Arial"/>
          <w:lang w:val="en-GB" w:eastAsia="zh-CN"/>
        </w:rPr>
        <w:t xml:space="preserve">principle chemical engineering calculations. The strategy proposed relies on simulation data from Aspen Plus and helps quantify the risk associated with both individual unit operation and the process </w:t>
      </w:r>
      <w:r w:rsidR="003E2FD0" w:rsidRPr="008A401A">
        <w:rPr>
          <w:rFonts w:eastAsiaTheme="minorEastAsia" w:cs="Arial"/>
          <w:lang w:val="en-GB" w:eastAsia="zh-CN"/>
        </w:rPr>
        <w:fldChar w:fldCharType="begin"/>
      </w:r>
      <w:r w:rsidR="003E2FD0" w:rsidRPr="008A401A">
        <w:rPr>
          <w:rFonts w:eastAsiaTheme="minorEastAsia" w:cs="Arial"/>
          <w:lang w:val="en-GB" w:eastAsia="zh-CN"/>
        </w:rPr>
        <w:instrText xml:space="preserve"> ADDIN ZOTERO_ITEM CSL_CITATION {"citationID":"Ac9nAKCF","properties":{"formattedCitation":"(Qian, Vaddiraju and Khan, 2024)","plainCitation":"(Qian, Vaddiraju and Khan, 2024)","noteIndex":0},"citationItems":[{"id":140,"uris":["http://zotero.org/users/15751543/items/E2IWW8S7"],"itemData":{"id":140,"type":"article-journal","abstract":"The rapid expansion of the chemical process industry necessitates an increased emphasis on process safety. Inherently safer design strategies are one of the most reliable and robust methods for process safety and are generally considered cost-optimal for loss prevention. In this manuscript, a semi-quantitative risk-based index, named the Inherent Process Risk Index (IPRI), is proposed to evaluate a process’s inherent safety from firstprinciple chemical engineering calculations. The strategy proposed relies on simulation data from Aspen Plus and helps quantify the risk associated with both individual unit operation and the process. Input to the risk calculations include process parameters, such as temperatures, pressure, and flow rates. More specifically, in this manuscript, the risk estimated is presented using two case studies to elaborate the functioning of IPRI, namely the production of formic acid using Kemira-Leonard process and methyl methacrylate production. In addition to benchmarking the process risk with IPRI, the results obtained were compared to those obtained using existing indexing methods to highlight the novelty of IPRI and also explain the differences between IPRI and other indexing methods. It is believed that integrating risk indexing with Aspen plus simulation will aid in teaching process safety to undergraduate engineering students.","container-title":"Process Safety and Environmental Protection","DOI":"10.1016/j.psep.2023.12.070","ISSN":"09575820","journalAbbreviation":"Process Safety and Environmental Protection","language":"en","page":"399-416","source":"DOI.org (Crossref)","title":"Inherent Process Risk Index (IPRI) – A tool for analyzing inherently safer design using Aspen Plus simulation","volume":"183","author":[{"family":"Qian","given":"Yutian"},{"family":"Vaddiraju","given":"Sreeram"},{"family":"Khan","given":"Faisal"}],"issued":{"date-parts":[["2024",3]]}}}],"schema":"https://github.com/citation-style-language/schema/raw/master/csl-citation.json"} </w:instrText>
      </w:r>
      <w:r w:rsidR="003E2FD0" w:rsidRPr="008A401A">
        <w:rPr>
          <w:rFonts w:eastAsiaTheme="minorEastAsia" w:cs="Arial"/>
          <w:lang w:val="en-GB" w:eastAsia="zh-CN"/>
        </w:rPr>
        <w:fldChar w:fldCharType="separate"/>
      </w:r>
      <w:r w:rsidR="003E2FD0" w:rsidRPr="008A401A">
        <w:rPr>
          <w:rFonts w:eastAsiaTheme="minorEastAsia" w:cs="Arial"/>
        </w:rPr>
        <w:t>(Qian, Vaddiraju and Khan, 2024)</w:t>
      </w:r>
      <w:r w:rsidR="003E2FD0" w:rsidRPr="008A401A">
        <w:rPr>
          <w:rFonts w:eastAsiaTheme="minorEastAsia" w:cs="Arial"/>
          <w:lang w:val="en-GB" w:eastAsia="zh-CN"/>
        </w:rPr>
        <w:fldChar w:fldCharType="end"/>
      </w:r>
      <w:r w:rsidR="003E2FD0" w:rsidRPr="008A401A">
        <w:rPr>
          <w:rFonts w:eastAsiaTheme="minorEastAsia" w:cs="Arial"/>
          <w:lang w:val="en-GB" w:eastAsia="zh-CN"/>
        </w:rPr>
        <w:t xml:space="preserve">. </w:t>
      </w:r>
      <w:r w:rsidR="000A57A0" w:rsidRPr="008A401A">
        <w:rPr>
          <w:rFonts w:eastAsiaTheme="minorEastAsia" w:cs="Arial"/>
          <w:lang w:val="en-GB" w:eastAsia="zh-CN"/>
        </w:rPr>
        <w:t xml:space="preserve">Deng </w:t>
      </w:r>
      <w:r w:rsidR="004123C4" w:rsidRPr="008A401A">
        <w:rPr>
          <w:rFonts w:eastAsiaTheme="minorEastAsia" w:cs="Arial"/>
          <w:lang w:val="en-GB" w:eastAsia="zh-CN"/>
        </w:rPr>
        <w:t xml:space="preserve">established an inherent safety assessment framework </w:t>
      </w:r>
      <w:r w:rsidR="007B6064" w:rsidRPr="008A401A">
        <w:rPr>
          <w:rFonts w:eastAsiaTheme="minorEastAsia" w:cs="Arial"/>
          <w:lang w:val="en-GB" w:eastAsia="zh-CN"/>
        </w:rPr>
        <w:t>to assess the on-board methanol reforming hydrogen fuel cell system (MRFC)</w:t>
      </w:r>
      <w:r w:rsidR="003317DB" w:rsidRPr="008A401A">
        <w:rPr>
          <w:rFonts w:eastAsiaTheme="minorEastAsia" w:cs="Arial"/>
          <w:lang w:val="en-GB" w:eastAsia="zh-CN"/>
        </w:rPr>
        <w:t>’s</w:t>
      </w:r>
      <w:r w:rsidR="007B6064" w:rsidRPr="008A401A">
        <w:rPr>
          <w:rFonts w:eastAsiaTheme="minorEastAsia" w:cs="Arial"/>
          <w:lang w:val="en-GB" w:eastAsia="zh-CN"/>
        </w:rPr>
        <w:t xml:space="preserve"> inherent safety, considering jet fire and vapor cloud explosion (VCE)</w:t>
      </w:r>
      <w:r w:rsidR="001D65ED" w:rsidRPr="008A401A">
        <w:rPr>
          <w:rFonts w:eastAsiaTheme="minorEastAsia" w:cs="Arial"/>
          <w:lang w:val="en-GB" w:eastAsia="zh-CN"/>
        </w:rPr>
        <w:t xml:space="preserve"> </w:t>
      </w:r>
      <w:r w:rsidR="003317DB" w:rsidRPr="008A401A">
        <w:rPr>
          <w:rFonts w:eastAsiaTheme="minorEastAsia" w:cs="Arial"/>
          <w:lang w:val="en-GB" w:eastAsia="zh-CN"/>
        </w:rPr>
        <w:fldChar w:fldCharType="begin"/>
      </w:r>
      <w:r w:rsidR="003317DB" w:rsidRPr="008A401A">
        <w:rPr>
          <w:rFonts w:eastAsiaTheme="minorEastAsia" w:cs="Arial"/>
          <w:lang w:val="en-GB" w:eastAsia="zh-CN"/>
        </w:rPr>
        <w:instrText xml:space="preserve"> ADDIN ZOTERO_ITEM CSL_CITATION {"citationID":"FJZ4NEYS","properties":{"formattedCitation":"(Deng {\\i{}et al.}, 2024)","plainCitation":"(Deng et al., 2024)","noteIndex":0},"citationItems":[{"id":250,"uris":["http://zotero.org/users/15751543/items/GLG2ADFU"],"itemData":{"id":250,"type":"article-journal","abstract":"The on-board methanol reforming hydrogen fuel cell system (MRFC) is considered more promising than hydrogen fuel cell vehicle. However, few studies have been conducted on the safety of this system. This study investigates the inherent safety of MRFC. An inherent safety assessment framework was established to assess the MRFC's inherent safety, considering jet ﬁre and vapor cloud explosion (VCE). The analysis results show that the radiation intensity of the hot methanol stream was 135.0920 kW/m2 at 0.5 m when a jet ﬁre occurred. The methanol tank had the most severe explosive consequence, which can affect up to 60 m. The study concludes that the streams around the reformer and the methanol tank pose high risks. Compared to other studies, this study quantiﬁes the risks of MRFC's equipment and pipelines, providing a reference for the inherent safety design of integrated processes in the future.","container-title":"International Journal of Hydrogen Energy","DOI":"10.1016/j.ijhydene.2023.08.257","ISSN":"03603199","journalAbbreviation":"International Journal of Hydrogen Energy","language":"en","page":"1047-1061","source":"DOI.org (Crossref)","title":"Inherent safety assessment of on-board methanol reforming hydrogen production fuel cell system considering jet fire and vapor cloud explosion","volume":"50","author":[{"family":"Deng","given":"Zijian"},{"family":"Bai","given":"Mingqi"},{"family":"Qi","given":"Meng"},{"family":"Tian","given":"Yue"},{"family":"Qu","given":"Haowen"},{"family":"Liu","given":"Yi"}],"issued":{"date-parts":[["2024",1]]}}}],"schema":"https://github.com/citation-style-language/schema/raw/master/csl-citation.json"} </w:instrText>
      </w:r>
      <w:r w:rsidR="003317DB" w:rsidRPr="008A401A">
        <w:rPr>
          <w:rFonts w:eastAsiaTheme="minorEastAsia" w:cs="Arial"/>
          <w:lang w:val="en-GB" w:eastAsia="zh-CN"/>
        </w:rPr>
        <w:fldChar w:fldCharType="separate"/>
      </w:r>
      <w:r w:rsidR="003317DB" w:rsidRPr="008A401A">
        <w:rPr>
          <w:rFonts w:cs="Arial"/>
          <w:szCs w:val="24"/>
        </w:rPr>
        <w:t xml:space="preserve">(Deng </w:t>
      </w:r>
      <w:r w:rsidR="003317DB" w:rsidRPr="008A401A">
        <w:rPr>
          <w:rFonts w:cs="Arial"/>
          <w:i/>
          <w:iCs/>
          <w:szCs w:val="24"/>
        </w:rPr>
        <w:t>et al.</w:t>
      </w:r>
      <w:r w:rsidR="003317DB" w:rsidRPr="008A401A">
        <w:rPr>
          <w:rFonts w:cs="Arial"/>
          <w:szCs w:val="24"/>
        </w:rPr>
        <w:t>, 2024)</w:t>
      </w:r>
      <w:r w:rsidR="003317DB" w:rsidRPr="008A401A">
        <w:rPr>
          <w:rFonts w:eastAsiaTheme="minorEastAsia" w:cs="Arial"/>
          <w:lang w:val="en-GB" w:eastAsia="zh-CN"/>
        </w:rPr>
        <w:fldChar w:fldCharType="end"/>
      </w:r>
      <w:r w:rsidR="007B6064" w:rsidRPr="008A401A">
        <w:rPr>
          <w:rFonts w:eastAsiaTheme="minorEastAsia" w:cs="Arial"/>
          <w:lang w:val="en-GB" w:eastAsia="zh-CN"/>
        </w:rPr>
        <w:t>.</w:t>
      </w:r>
      <w:r w:rsidR="003317DB" w:rsidRPr="008A401A">
        <w:rPr>
          <w:rFonts w:eastAsiaTheme="minorEastAsia" w:cs="Arial"/>
          <w:lang w:val="en-GB" w:eastAsia="zh-CN"/>
        </w:rPr>
        <w:t xml:space="preserve"> </w:t>
      </w:r>
      <w:r w:rsidR="00B10D41" w:rsidRPr="008A401A">
        <w:rPr>
          <w:rFonts w:eastAsiaTheme="minorEastAsia" w:cs="Arial"/>
          <w:lang w:val="en-GB" w:eastAsia="zh-CN"/>
        </w:rPr>
        <w:t xml:space="preserve">Pu </w:t>
      </w:r>
      <w:r w:rsidR="005F0D65" w:rsidRPr="008A401A">
        <w:rPr>
          <w:rFonts w:eastAsiaTheme="minorEastAsia" w:cs="Arial"/>
          <w:lang w:val="en-GB" w:eastAsia="zh-CN"/>
        </w:rPr>
        <w:t xml:space="preserve">developed a dedicated tool called Safety Metric for Plant Design (SMPD), integrating occupational safety and process safety aspects, to generate a holistic safer chemical plant via inherent safety oriented modifications </w:t>
      </w:r>
      <w:r w:rsidR="005F0D65" w:rsidRPr="008A401A">
        <w:rPr>
          <w:rFonts w:eastAsiaTheme="minorEastAsia" w:cs="Arial"/>
          <w:lang w:val="en-GB" w:eastAsia="zh-CN"/>
        </w:rPr>
        <w:fldChar w:fldCharType="begin"/>
      </w:r>
      <w:r w:rsidR="005F0D65" w:rsidRPr="008A401A">
        <w:rPr>
          <w:rFonts w:eastAsiaTheme="minorEastAsia" w:cs="Arial"/>
          <w:lang w:val="en-GB" w:eastAsia="zh-CN"/>
        </w:rPr>
        <w:instrText xml:space="preserve"> ADDIN ZOTERO_ITEM CSL_CITATION {"citationID":"RugAMMNV","properties":{"formattedCitation":"(Pu, Abdul Raman, {\\i{}et al.}, 2024)","plainCitation":"(Pu, Abdul Raman, et al., 2024)","noteIndex":0},"citationItems":[{"id":139,"uris":["http://zotero.org/users/15751543/items/AYAUFLPW"],"itemData":{"id":139,"type":"article-journal","abstract":"Chemical plants encompass diverse chemical and non-chemical hazards that can potentially lead to accidents. Consequently, it is imperative to implement appropriate risk management strategies to effectively reduce these hazards. Inherent safety, with its emphasis on eliminating hazards at source, has resulted in notable success in generating safer process routes. Conventional inherent safety methodologies are limited to optimizing process designs by reducing chemical and process hazards; however, occupational safety hazards (e.g., burns, electrocutions, drowning, and vehicle incidents) associated with ancillary services and working environments are not commonly scrutinized in the inherent safety framework. To this end, this work developed a dedicated tool called Safety Metric for Plant Design (SMPD), integrating occupational safety and process safety aspects, to generate a holistic safer chemical plant via inherent safety oriented modifications. Firstly, the index framework was constructed based on the safety consideration of chemical and process, ancillary services, and working environments. Then, the index framework was integrated with the Fuzzy Risk Rating (FRR), Precedence Chart (PC), and Bayesian Network (BN) to develop SMPD, and the Systematic Risk Reduction Framework (SRRF) was proposed to implement the inherent safety oriented design. Lastly, the SMPD was demonstrated using the case study of a methanol plant. The results revealed that the overall safety level increased from 2.7 to 3.39 after SRRF-based design modifications, implying that the revised chemical plant design is inherently safer than the base design. The proposed SMPD addresses both process hazards and occupational hazards by inherently safer approaches. This work provides a new perspective for designers to shift from inherently safer process design to plant design, aiming to establish a safety design framework for chemical plants oriented towards inherent safety.","container-title":"Journal of Loss Prevention in the Process Industries","DOI":"10.1016/j.jlp.2023.105204","ISSN":"09504230","journalAbbreviation":"Journal of Loss Prevention in the Process Industries","language":"en","page":"105204","source":"DOI.org (Crossref)","title":"Process &amp; occupational safety integrated inherently safer chemical plant design: Framework development and validation","title-short":"Process &amp; occupational safety integrated inherently safer chemical plant design","volume":"87","author":[{"family":"Pu","given":"Wei"},{"family":"Abdul Raman","given":"Abdul Aziz"},{"family":"Hamid","given":"Mahar Diana"},{"family":"Gao","given":"Xiaoming"},{"family":"Lin","given":"Shentong"},{"family":"Buthiyappan","given":"Archina"}],"issued":{"date-parts":[["2024",2]]}}}],"schema":"https://github.com/citation-style-language/schema/raw/master/csl-citation.json"} </w:instrText>
      </w:r>
      <w:r w:rsidR="005F0D65" w:rsidRPr="008A401A">
        <w:rPr>
          <w:rFonts w:eastAsiaTheme="minorEastAsia" w:cs="Arial"/>
          <w:lang w:val="en-GB" w:eastAsia="zh-CN"/>
        </w:rPr>
        <w:fldChar w:fldCharType="separate"/>
      </w:r>
      <w:r w:rsidR="005F0D65" w:rsidRPr="008A401A">
        <w:rPr>
          <w:rFonts w:cs="Arial"/>
          <w:szCs w:val="24"/>
        </w:rPr>
        <w:t xml:space="preserve">(Pu, Abdul Raman, </w:t>
      </w:r>
      <w:r w:rsidR="005F0D65" w:rsidRPr="008A401A">
        <w:rPr>
          <w:rFonts w:cs="Arial"/>
          <w:i/>
          <w:iCs/>
          <w:szCs w:val="24"/>
        </w:rPr>
        <w:t>et al.</w:t>
      </w:r>
      <w:r w:rsidR="005F0D65" w:rsidRPr="008A401A">
        <w:rPr>
          <w:rFonts w:cs="Arial"/>
          <w:szCs w:val="24"/>
        </w:rPr>
        <w:t>, 2024)</w:t>
      </w:r>
      <w:r w:rsidR="005F0D65" w:rsidRPr="008A401A">
        <w:rPr>
          <w:rFonts w:eastAsiaTheme="minorEastAsia" w:cs="Arial"/>
          <w:lang w:val="en-GB" w:eastAsia="zh-CN"/>
        </w:rPr>
        <w:fldChar w:fldCharType="end"/>
      </w:r>
      <w:r w:rsidR="005F0D65" w:rsidRPr="008A401A">
        <w:rPr>
          <w:rFonts w:eastAsiaTheme="minorEastAsia" w:cs="Arial"/>
          <w:lang w:val="en-GB" w:eastAsia="zh-CN"/>
        </w:rPr>
        <w:t>.</w:t>
      </w:r>
      <w:r w:rsidR="00E0052D" w:rsidRPr="008A401A">
        <w:rPr>
          <w:rFonts w:eastAsiaTheme="minorEastAsia" w:cs="Arial"/>
          <w:lang w:val="en-GB" w:eastAsia="zh-CN"/>
        </w:rPr>
        <w:t xml:space="preserve"> </w:t>
      </w:r>
      <w:r w:rsidR="005F4410" w:rsidRPr="008A401A">
        <w:rPr>
          <w:rFonts w:eastAsiaTheme="minorEastAsia" w:cs="Arial"/>
          <w:lang w:val="en-GB" w:eastAsia="zh-CN"/>
        </w:rPr>
        <w:t xml:space="preserve">All these approaches </w:t>
      </w:r>
      <w:r w:rsidR="00B70ABB" w:rsidRPr="008A401A">
        <w:rPr>
          <w:rFonts w:eastAsiaTheme="minorEastAsia" w:cs="Arial"/>
          <w:lang w:val="en-GB" w:eastAsia="zh-CN"/>
        </w:rPr>
        <w:t xml:space="preserve">have </w:t>
      </w:r>
      <w:r w:rsidR="00690BBF" w:rsidRPr="008A401A">
        <w:rPr>
          <w:rFonts w:eastAsiaTheme="minorEastAsia" w:cs="Arial"/>
          <w:lang w:val="en-GB" w:eastAsia="zh-CN"/>
        </w:rPr>
        <w:t>proposed many indicator</w:t>
      </w:r>
      <w:r w:rsidR="00AB3F4D" w:rsidRPr="008A401A">
        <w:rPr>
          <w:rFonts w:eastAsiaTheme="minorEastAsia" w:cs="Arial"/>
          <w:lang w:val="en-GB" w:eastAsia="zh-CN"/>
        </w:rPr>
        <w:t xml:space="preserve">s </w:t>
      </w:r>
      <w:r w:rsidR="00034E51" w:rsidRPr="008A401A">
        <w:rPr>
          <w:rFonts w:eastAsiaTheme="minorEastAsia" w:cs="Arial"/>
          <w:lang w:val="en-GB" w:eastAsia="zh-CN"/>
        </w:rPr>
        <w:t>to reflect the performance</w:t>
      </w:r>
      <w:r w:rsidR="002718CF" w:rsidRPr="008A401A">
        <w:rPr>
          <w:rFonts w:eastAsiaTheme="minorEastAsia" w:cs="Arial"/>
          <w:lang w:val="en-GB" w:eastAsia="zh-CN"/>
        </w:rPr>
        <w:t xml:space="preserve"> of </w:t>
      </w:r>
      <w:r w:rsidR="00EA2694" w:rsidRPr="008A401A">
        <w:rPr>
          <w:rFonts w:eastAsiaTheme="minorEastAsia" w:cs="Arial"/>
          <w:lang w:val="en-GB" w:eastAsia="zh-CN"/>
        </w:rPr>
        <w:t>chemical processes’ inherent safety</w:t>
      </w:r>
      <w:r w:rsidR="006245B1" w:rsidRPr="008A401A">
        <w:rPr>
          <w:rFonts w:eastAsiaTheme="minorEastAsia" w:cs="Arial"/>
          <w:lang w:val="en-GB" w:eastAsia="zh-CN"/>
        </w:rPr>
        <w:t xml:space="preserve">. </w:t>
      </w:r>
      <w:r w:rsidR="004E6422" w:rsidRPr="008A401A">
        <w:rPr>
          <w:rFonts w:eastAsiaTheme="minorEastAsia" w:cs="Arial"/>
          <w:lang w:val="en-GB" w:eastAsia="zh-CN"/>
        </w:rPr>
        <w:t>Since it’s necessary to select a suitable in</w:t>
      </w:r>
      <w:r w:rsidR="00912532" w:rsidRPr="008A401A">
        <w:rPr>
          <w:rFonts w:eastAsiaTheme="minorEastAsia" w:cs="Arial"/>
          <w:lang w:val="en-GB" w:eastAsia="zh-CN"/>
        </w:rPr>
        <w:t xml:space="preserve">dicator to reflect the </w:t>
      </w:r>
      <w:r w:rsidR="00161E6B" w:rsidRPr="008A401A">
        <w:rPr>
          <w:rFonts w:eastAsiaTheme="minorEastAsia" w:cs="Arial"/>
          <w:lang w:val="en-GB" w:eastAsia="zh-CN"/>
        </w:rPr>
        <w:t xml:space="preserve">inherent safety level </w:t>
      </w:r>
      <w:r w:rsidR="008563F4" w:rsidRPr="008A401A">
        <w:rPr>
          <w:rFonts w:eastAsiaTheme="minorEastAsia" w:cs="Arial"/>
          <w:lang w:val="en-GB" w:eastAsia="zh-CN"/>
        </w:rPr>
        <w:t>of hydrogen-related systems</w:t>
      </w:r>
      <w:r w:rsidR="003B02F5" w:rsidRPr="008A401A">
        <w:rPr>
          <w:rFonts w:eastAsiaTheme="minorEastAsia" w:cs="Arial"/>
          <w:lang w:val="en-GB" w:eastAsia="zh-CN"/>
        </w:rPr>
        <w:t>.</w:t>
      </w:r>
      <w:r w:rsidR="00951122" w:rsidRPr="008A401A">
        <w:rPr>
          <w:rFonts w:eastAsiaTheme="minorEastAsia" w:cs="Arial"/>
          <w:lang w:val="en-GB" w:eastAsia="zh-CN"/>
        </w:rPr>
        <w:t xml:space="preserve"> </w:t>
      </w:r>
    </w:p>
    <w:p w14:paraId="07AEBC2E" w14:textId="60B985CB" w:rsidR="002C0F88" w:rsidRDefault="002C0F88" w:rsidP="00600535">
      <w:pPr>
        <w:pStyle w:val="CETBodytext"/>
        <w:rPr>
          <w:rFonts w:eastAsiaTheme="minorEastAsia" w:cs="Arial"/>
          <w:lang w:val="en-GB" w:eastAsia="zh-CN"/>
        </w:rPr>
      </w:pPr>
      <w:r w:rsidRPr="002C0F88">
        <w:rPr>
          <w:rFonts w:eastAsiaTheme="minorEastAsia" w:cs="Arial"/>
          <w:lang w:val="en-GB" w:eastAsia="zh-CN"/>
        </w:rPr>
        <w:t xml:space="preserve">However, the traditional TOPSIS method is deficient in dealing with the interdependence between indicators and the subjectivity of weight assignment. To overcome these problems, </w:t>
      </w:r>
      <w:r w:rsidRPr="008A401A">
        <w:rPr>
          <w:rFonts w:eastAsiaTheme="minorEastAsia" w:cs="Arial"/>
          <w:lang w:val="en-GB" w:eastAsia="zh-CN"/>
        </w:rPr>
        <w:fldChar w:fldCharType="begin"/>
      </w:r>
      <w:r w:rsidRPr="008A401A">
        <w:rPr>
          <w:rFonts w:eastAsiaTheme="minorEastAsia" w:cs="Arial"/>
          <w:lang w:val="en-GB" w:eastAsia="zh-CN"/>
        </w:rPr>
        <w:instrText xml:space="preserve"> ADDIN ZOTERO_ITEM CSL_CITATION {"citationID":"UkuqRYse","properties":{"formattedCitation":"(Buchmayr {\\i{}et al.}, 2023)","plainCitation":"(Buchmayr et al., 2023)","noteIndex":0},"citationItems":[{"id":328,"uris":["http://zotero.org/users/15751543/items/QV2LR8SK"],"itemData":{"id":328,"type":"article-journal","abstract":"Sustainability impact assessments studies combine several indicators to cover environmental, economic and social impacts. These indicators describe different impact pathways and are expressed in different units, which makes comparing alternatives challenging. An aggregated metric is required to facilitate the presentation and communication of sustainability. The presented aggregation framework is based on the distance-to-target method NR-TOPSIS and adapted to a distance-to-sustainability-target approach. A procedure is given for aggregating 12 sustainability indicators into a single score sustainability indicator. Reference points for normalization of diverse impact indicators and weighting factors are investigated. The framework was applied to a wind energy case study comparing one offshore and two onshore alternatives. The case study results were compared using both a dashboard of 12 endpoint indicators and an aggregated sustainability indicator. The indicator was presented on a sustainability scale that indicated the distance of the investigated cases to an ideal (sustainable) solution. A sensitivity analysis of the weighting factors showed that the distribution of weights influenced the ranking of alternatives, especially when the alternatives are positioned close to each other on the sustainability scale, as it is the case for the wind energy scenarios. For most of the weighting scenarios, the onshore wind energy project using permanent magnet synchronous generators appeared to be the most sustainable solution.","container-title":"Renewable and Sustainable Energy Reviews","DOI":"10.1016/j.rser.2023.113608","ISSN":"13640321","journalAbbreviation":"Renewable and Sustainable Energy Reviews","language":"en","page":"113608","source":"DOI.org (Crossref)","title":"A distance-to-sustainability-target approach for indicator aggregation and its application for the comparison of wind energy alternatives","volume":"185","author":[{"family":"Buchmayr","given":"A."},{"family":"Taelman","given":"S.E."},{"family":"Thomassen","given":"G."},{"family":"Verhofstadt","given":"E."},{"family":"Van Ootegem","given":"L."},{"family":"Dewulf","given":"J."}],"issued":{"date-parts":[["2023",10]]}}}],"schema":"https://github.com/citation-style-language/schema/raw/master/csl-citation.json"} </w:instrText>
      </w:r>
      <w:r w:rsidRPr="008A401A">
        <w:rPr>
          <w:rFonts w:eastAsiaTheme="minorEastAsia" w:cs="Arial"/>
          <w:lang w:val="en-GB" w:eastAsia="zh-CN"/>
        </w:rPr>
        <w:fldChar w:fldCharType="separate"/>
      </w:r>
      <w:r w:rsidRPr="008A401A">
        <w:rPr>
          <w:rFonts w:cs="Arial"/>
          <w:szCs w:val="24"/>
        </w:rPr>
        <w:t xml:space="preserve">(Buchmayr </w:t>
      </w:r>
      <w:r w:rsidRPr="008A401A">
        <w:rPr>
          <w:rFonts w:cs="Arial"/>
          <w:i/>
          <w:iCs/>
          <w:szCs w:val="24"/>
        </w:rPr>
        <w:t>et al.</w:t>
      </w:r>
      <w:r w:rsidRPr="008A401A">
        <w:rPr>
          <w:rFonts w:cs="Arial"/>
          <w:szCs w:val="24"/>
        </w:rPr>
        <w:t>, 2023)</w:t>
      </w:r>
      <w:r w:rsidRPr="008A401A">
        <w:rPr>
          <w:rFonts w:eastAsiaTheme="minorEastAsia" w:cs="Arial"/>
          <w:lang w:val="en-GB" w:eastAsia="zh-CN"/>
        </w:rPr>
        <w:fldChar w:fldCharType="end"/>
      </w:r>
      <w:r w:rsidRPr="002C0F88">
        <w:rPr>
          <w:rFonts w:eastAsiaTheme="minorEastAsia" w:cs="Arial"/>
          <w:lang w:val="en-GB" w:eastAsia="zh-CN"/>
        </w:rPr>
        <w:t xml:space="preserve"> proposed the NR-TOPSIS (Normalized Rank-TOPSIS) method, which dramatically improves the stability and accuracy of the assessment results by constructing a hierarchical structure and normalized ranking.</w:t>
      </w:r>
      <w:r w:rsidR="001168A5">
        <w:rPr>
          <w:rFonts w:eastAsiaTheme="minorEastAsia" w:cs="Arial" w:hint="eastAsia"/>
          <w:lang w:val="en-GB" w:eastAsia="zh-CN"/>
        </w:rPr>
        <w:t xml:space="preserve"> </w:t>
      </w:r>
      <w:r w:rsidRPr="002C0F88">
        <w:rPr>
          <w:rFonts w:eastAsiaTheme="minorEastAsia" w:cs="Arial"/>
          <w:lang w:val="en-GB" w:eastAsia="zh-CN"/>
        </w:rPr>
        <w:t xml:space="preserve">The NR-TOPSIS method is able to effectively combine expert judgments and objective data, which is particularly suitable for multilevel and multi-indicator inherent security assessment. Although the NR-TOPSIS method has been successfully applied in other fields, it is the first time that it has been applied to assess the intrinsic safety of electrolytic hydrogen production systems. This study aims to fill this research gap by evaluating the applicability and effectiveness of the NR-TOPSIS methodology in the evaluation of the intrinsic safety of hydrogen electrolysis production. Specifically, the NR-TOPSIS method has the following obvious advantages: Hierarchical structure treatment: effectively manages the complex, multilevel safety indicator system in the production of water electrolyzed hydrogen. Comprehensive weighting method: Combining expert opinion and objective data to ensure the </w:t>
      </w:r>
      <w:proofErr w:type="spellStart"/>
      <w:r w:rsidRPr="002C0F88">
        <w:rPr>
          <w:rFonts w:eastAsiaTheme="minorEastAsia" w:cs="Arial"/>
          <w:lang w:val="en-GB" w:eastAsia="zh-CN"/>
        </w:rPr>
        <w:t>scientificity</w:t>
      </w:r>
      <w:proofErr w:type="spellEnd"/>
      <w:r w:rsidRPr="002C0F88">
        <w:rPr>
          <w:rFonts w:eastAsiaTheme="minorEastAsia" w:cs="Arial"/>
          <w:lang w:val="en-GB" w:eastAsia="zh-CN"/>
        </w:rPr>
        <w:t xml:space="preserve"> and reliability of weight allocation. Enhanced Stability: Reduces sorting instability caused by differences in indicator scales through normalization, ensuring consistent and reliable assessment results. Clarity of Decision Support: Clear risk ranking and decision support to effectively identify and mitigate key risks. By clearly articulating the motivation and methodological advantages of the research, this study is of great significance to the inherent safety assessment methodology of hydrogen electrolysis production.</w:t>
      </w:r>
    </w:p>
    <w:p w14:paraId="5741900F" w14:textId="40C54B8D" w:rsidR="00453E24" w:rsidRPr="008A401A" w:rsidRDefault="00445DC2" w:rsidP="00453E24">
      <w:pPr>
        <w:pStyle w:val="CETHeading1"/>
        <w:rPr>
          <w:rFonts w:cs="Arial"/>
        </w:rPr>
      </w:pPr>
      <w:r w:rsidRPr="008A401A">
        <w:rPr>
          <w:rFonts w:cs="Arial"/>
        </w:rPr>
        <w:t>Methodology</w:t>
      </w:r>
    </w:p>
    <w:p w14:paraId="09406386" w14:textId="006E89B8" w:rsidR="00453E24" w:rsidRPr="008A401A" w:rsidRDefault="002D7D4F" w:rsidP="00453E24">
      <w:pPr>
        <w:pStyle w:val="CETBodytext"/>
        <w:rPr>
          <w:rFonts w:cs="Arial"/>
        </w:rPr>
      </w:pPr>
      <w:r w:rsidRPr="008A401A">
        <w:rPr>
          <w:rFonts w:cs="Arial"/>
        </w:rPr>
        <w:t xml:space="preserve">This approach provides a </w:t>
      </w:r>
      <w:r w:rsidR="0011473E" w:rsidRPr="0011473E">
        <w:rPr>
          <w:rFonts w:cs="Arial"/>
        </w:rPr>
        <w:t>method for assessing the safety of electrolytic hydrogen production systems</w:t>
      </w:r>
      <w:r w:rsidRPr="008A401A">
        <w:rPr>
          <w:rFonts w:cs="Arial"/>
        </w:rPr>
        <w:t>.</w:t>
      </w:r>
    </w:p>
    <w:p w14:paraId="0636B784" w14:textId="083A5575" w:rsidR="00453E24" w:rsidRPr="008A401A" w:rsidRDefault="00FA5E24" w:rsidP="00FA5E24">
      <w:pPr>
        <w:pStyle w:val="CETheadingx"/>
        <w:rPr>
          <w:rFonts w:cs="Arial"/>
        </w:rPr>
      </w:pPr>
      <w:r w:rsidRPr="008A401A">
        <w:rPr>
          <w:rFonts w:cs="Arial"/>
        </w:rPr>
        <w:t>Two-layer indicator collection</w:t>
      </w:r>
    </w:p>
    <w:p w14:paraId="7C2B0064" w14:textId="3FD6FC56" w:rsidR="00453E24" w:rsidRPr="008A401A" w:rsidRDefault="004C5ADD" w:rsidP="00453E24">
      <w:pPr>
        <w:pStyle w:val="CETBodytext"/>
        <w:rPr>
          <w:rFonts w:cs="Arial"/>
        </w:rPr>
      </w:pPr>
      <w:r w:rsidRPr="008A401A">
        <w:rPr>
          <w:rFonts w:cs="Arial"/>
        </w:rPr>
        <w:t>Based on chemical process safety evaluation theories, we systematically selected 55 indicators relevant to electrolytic hydrogen production and grouped them into 6 categories: material properties, process conditions, reaction characteristics, equipment properties, activity types, and accident consequences.</w:t>
      </w:r>
    </w:p>
    <w:p w14:paraId="18BAFA6F" w14:textId="64E9389A" w:rsidR="00453E24" w:rsidRPr="008A401A" w:rsidRDefault="00B5356E" w:rsidP="00B5356E">
      <w:pPr>
        <w:pStyle w:val="CETheadingx"/>
        <w:rPr>
          <w:rFonts w:cs="Arial"/>
        </w:rPr>
      </w:pPr>
      <w:r w:rsidRPr="008A401A">
        <w:rPr>
          <w:rFonts w:cs="Arial"/>
        </w:rPr>
        <w:t>First-layer indicator aggregation</w:t>
      </w:r>
    </w:p>
    <w:p w14:paraId="5436D977" w14:textId="77613BF1" w:rsidR="00453E24" w:rsidRPr="008A401A" w:rsidRDefault="00745D8F" w:rsidP="00277496">
      <w:pPr>
        <w:pStyle w:val="CETBodytext"/>
        <w:rPr>
          <w:rFonts w:eastAsiaTheme="minorEastAsia" w:cs="Arial"/>
          <w:lang w:eastAsia="zh-CN"/>
        </w:rPr>
      </w:pPr>
      <w:r w:rsidRPr="00745D8F">
        <w:rPr>
          <w:rFonts w:cs="Arial"/>
          <w:lang w:val="en-GB"/>
        </w:rPr>
        <w:t>First, the intrinsic indicators are scored. Based on predefined evaluation criteria, an initial score is assigned to each indicator. Subsequently, these scores are normalized to convert indicators with different dimensions into a unified scale. Next, the positive ideal solution and the negative ideal solution are determined, representing the optimal and worst values of the indicators, respectively. Then, the distances between each indicator and the positive and negative ideal solutions are calculated to quantify the extent to which the indicators approach the optimal or worst values. Finally, these distances are used to compute the relative closeness of each indicator, thereby determining the relative importance of each indicator.</w:t>
      </w:r>
    </w:p>
    <w:p w14:paraId="17F5C3C8" w14:textId="40FB484D" w:rsidR="00262E52" w:rsidRPr="008A401A" w:rsidRDefault="006207DD" w:rsidP="006207DD">
      <w:pPr>
        <w:pStyle w:val="CETheadingx"/>
        <w:rPr>
          <w:rFonts w:cs="Arial"/>
        </w:rPr>
      </w:pPr>
      <w:r w:rsidRPr="008A401A">
        <w:rPr>
          <w:rFonts w:cs="Arial"/>
        </w:rPr>
        <w:t>Second-layer indicator aggregation</w:t>
      </w:r>
    </w:p>
    <w:p w14:paraId="3C976B22" w14:textId="1B3F4FE2" w:rsidR="00262E52" w:rsidRPr="008A401A" w:rsidRDefault="00C37EB7" w:rsidP="00453E24">
      <w:pPr>
        <w:pStyle w:val="CETBodytext"/>
        <w:rPr>
          <w:rFonts w:eastAsiaTheme="minorEastAsia" w:cs="Arial"/>
          <w:lang w:eastAsia="zh-CN"/>
        </w:rPr>
      </w:pPr>
      <w:r w:rsidRPr="00C37EB7">
        <w:rPr>
          <w:rFonts w:eastAsiaTheme="minorEastAsia" w:cs="Arial"/>
          <w:lang w:eastAsia="zh-CN"/>
        </w:rPr>
        <w:t>The second phase involves establishing a hierarchical structure, categorizing all indicators into different levels, constructing pairwise comparison matrices to assess the relative importance of the indicators, and generating judgment matrices. Further calculations yield the weight vectors for each indicator, followed by a consistency check to ensure the consistency between the weight allocation and the judgment matrix. After the weight calculation is completed, the results of the primary and secondary indicators are synthesized to derive the final comprehensive score.</w:t>
      </w:r>
    </w:p>
    <w:p w14:paraId="677EBFF0" w14:textId="4E607795" w:rsidR="00600535" w:rsidRPr="008A401A" w:rsidRDefault="005E551E" w:rsidP="00600535">
      <w:pPr>
        <w:pStyle w:val="CETHeading1"/>
        <w:tabs>
          <w:tab w:val="clear" w:pos="360"/>
          <w:tab w:val="right" w:pos="7100"/>
        </w:tabs>
        <w:jc w:val="both"/>
        <w:rPr>
          <w:rFonts w:cs="Arial"/>
          <w:lang w:val="en-GB"/>
        </w:rPr>
      </w:pPr>
      <w:r w:rsidRPr="008A401A">
        <w:rPr>
          <w:rFonts w:cs="Arial"/>
          <w:lang w:val="en-GB"/>
        </w:rPr>
        <w:lastRenderedPageBreak/>
        <w:t>Discussion</w:t>
      </w:r>
    </w:p>
    <w:p w14:paraId="04963A06" w14:textId="661BA349" w:rsidR="00600535" w:rsidRPr="008A401A" w:rsidRDefault="00307083" w:rsidP="00307083">
      <w:pPr>
        <w:pStyle w:val="CETheadingx"/>
        <w:rPr>
          <w:rFonts w:cs="Arial"/>
        </w:rPr>
      </w:pPr>
      <w:r w:rsidRPr="008A401A">
        <w:rPr>
          <w:rFonts w:cs="Arial"/>
        </w:rPr>
        <w:t>Initial data collection</w:t>
      </w:r>
    </w:p>
    <w:p w14:paraId="2E562C00" w14:textId="32302AE4" w:rsidR="004577FE" w:rsidRPr="008A401A" w:rsidRDefault="0054156C" w:rsidP="008375D8">
      <w:pPr>
        <w:pStyle w:val="afffd"/>
        <w:spacing w:line="240" w:lineRule="auto"/>
        <w:ind w:left="0"/>
        <w:rPr>
          <w:rFonts w:eastAsiaTheme="minorEastAsia" w:cs="Arial"/>
          <w:lang w:val="en-US" w:eastAsia="zh-CN"/>
        </w:rPr>
      </w:pPr>
      <w:r w:rsidRPr="008A401A">
        <w:rPr>
          <w:rFonts w:eastAsiaTheme="minorEastAsia" w:cs="Arial"/>
          <w:lang w:val="en-US" w:eastAsia="zh-CN"/>
        </w:rPr>
        <w:t xml:space="preserve">Systematic scoring criteria as </w:t>
      </w:r>
      <w:r w:rsidRPr="008A401A">
        <w:rPr>
          <w:rFonts w:eastAsiaTheme="minorEastAsia" w:cs="Arial"/>
          <w:lang w:val="en-US" w:eastAsia="zh-CN"/>
        </w:rPr>
        <w:fldChar w:fldCharType="begin"/>
      </w:r>
      <w:r w:rsidRPr="008A401A">
        <w:rPr>
          <w:rFonts w:eastAsiaTheme="minorEastAsia" w:cs="Arial"/>
          <w:lang w:val="en-US" w:eastAsia="zh-CN"/>
        </w:rPr>
        <w:instrText xml:space="preserve"> REF _Ref184739668 \h  \* MERGEFORMAT </w:instrText>
      </w:r>
      <w:r w:rsidRPr="008A401A">
        <w:rPr>
          <w:rFonts w:eastAsiaTheme="minorEastAsia" w:cs="Arial"/>
          <w:lang w:val="en-US" w:eastAsia="zh-CN"/>
        </w:rPr>
      </w:r>
      <w:r w:rsidRPr="008A401A">
        <w:rPr>
          <w:rFonts w:eastAsiaTheme="minorEastAsia" w:cs="Arial"/>
          <w:lang w:val="en-US" w:eastAsia="zh-CN"/>
        </w:rPr>
        <w:fldChar w:fldCharType="separate"/>
      </w:r>
      <w:r w:rsidR="00F004FF" w:rsidRPr="008A401A">
        <w:rPr>
          <w:rFonts w:eastAsiaTheme="minorEastAsia" w:cs="Arial"/>
          <w:lang w:val="en-US" w:eastAsia="zh-CN"/>
        </w:rPr>
        <w:t>Table 1</w:t>
      </w:r>
      <w:r w:rsidRPr="008A401A">
        <w:rPr>
          <w:rFonts w:eastAsiaTheme="minorEastAsia" w:cs="Arial"/>
          <w:lang w:val="en-US" w:eastAsia="zh-CN"/>
        </w:rPr>
        <w:fldChar w:fldCharType="end"/>
      </w:r>
      <w:r w:rsidRPr="008A401A">
        <w:rPr>
          <w:rFonts w:eastAsiaTheme="minorEastAsia" w:cs="Arial"/>
          <w:lang w:val="en-US" w:eastAsia="zh-CN"/>
        </w:rPr>
        <w:t>, and</w:t>
      </w:r>
      <w:r w:rsidR="0004450E" w:rsidRPr="008A401A">
        <w:rPr>
          <w:rFonts w:eastAsiaTheme="minorEastAsia" w:cs="Arial"/>
          <w:lang w:val="en-US" w:eastAsia="zh-CN"/>
        </w:rPr>
        <w:t xml:space="preserve"> Table 2 presents the ratings for the safety, operational complexity, equipment requirements, and potential consequences of accidents associated with electrolytic technologies, providing a foundational basis for systematic risk assessment.</w:t>
      </w:r>
    </w:p>
    <w:p w14:paraId="34AEC341" w14:textId="743DF116" w:rsidR="00774CA2" w:rsidRPr="008A401A" w:rsidRDefault="00774CA2" w:rsidP="00C80428">
      <w:pPr>
        <w:pStyle w:val="ad"/>
        <w:keepNext/>
        <w:jc w:val="center"/>
        <w:rPr>
          <w:rFonts w:cs="Arial"/>
          <w:b w:val="0"/>
          <w:bCs w:val="0"/>
          <w:i/>
          <w:iCs/>
          <w:color w:val="auto"/>
        </w:rPr>
      </w:pPr>
      <w:bookmarkStart w:id="1" w:name="_Ref184739668"/>
      <w:r w:rsidRPr="008A401A">
        <w:rPr>
          <w:rFonts w:cs="Arial"/>
          <w:b w:val="0"/>
          <w:bCs w:val="0"/>
          <w:i/>
          <w:iCs/>
          <w:color w:val="auto"/>
        </w:rPr>
        <w:t xml:space="preserve">Table </w:t>
      </w:r>
      <w:r w:rsidRPr="008A401A">
        <w:rPr>
          <w:rFonts w:cs="Arial"/>
          <w:b w:val="0"/>
          <w:bCs w:val="0"/>
          <w:i/>
          <w:iCs/>
          <w:color w:val="auto"/>
        </w:rPr>
        <w:fldChar w:fldCharType="begin"/>
      </w:r>
      <w:r w:rsidRPr="008A401A">
        <w:rPr>
          <w:rFonts w:cs="Arial"/>
          <w:b w:val="0"/>
          <w:bCs w:val="0"/>
          <w:i/>
          <w:iCs/>
          <w:color w:val="auto"/>
        </w:rPr>
        <w:instrText xml:space="preserve"> SEQ Table \* ARABIC </w:instrText>
      </w:r>
      <w:r w:rsidRPr="008A401A">
        <w:rPr>
          <w:rFonts w:cs="Arial"/>
          <w:b w:val="0"/>
          <w:bCs w:val="0"/>
          <w:i/>
          <w:iCs/>
          <w:color w:val="auto"/>
        </w:rPr>
        <w:fldChar w:fldCharType="separate"/>
      </w:r>
      <w:r w:rsidR="00F004FF" w:rsidRPr="008A401A">
        <w:rPr>
          <w:rFonts w:cs="Arial"/>
          <w:b w:val="0"/>
          <w:bCs w:val="0"/>
          <w:i/>
          <w:iCs/>
          <w:noProof/>
          <w:color w:val="auto"/>
        </w:rPr>
        <w:t>1</w:t>
      </w:r>
      <w:r w:rsidRPr="008A401A">
        <w:rPr>
          <w:rFonts w:cs="Arial"/>
          <w:b w:val="0"/>
          <w:bCs w:val="0"/>
          <w:i/>
          <w:iCs/>
          <w:color w:val="auto"/>
        </w:rPr>
        <w:fldChar w:fldCharType="end"/>
      </w:r>
      <w:bookmarkEnd w:id="1"/>
      <w:r w:rsidRPr="008A401A">
        <w:rPr>
          <w:rFonts w:cs="Arial"/>
          <w:b w:val="0"/>
          <w:bCs w:val="0"/>
          <w:i/>
          <w:iCs/>
          <w:color w:val="auto"/>
        </w:rPr>
        <w:t xml:space="preserve"> Systematic scoring</w:t>
      </w:r>
      <w:r w:rsidRPr="008A401A">
        <w:rPr>
          <w:rFonts w:eastAsia="等线" w:cs="Arial"/>
          <w:b w:val="0"/>
          <w:bCs w:val="0"/>
          <w:i/>
          <w:iCs/>
          <w:color w:val="auto"/>
        </w:rPr>
        <w:t xml:space="preserve"> criteria</w:t>
      </w:r>
    </w:p>
    <w:tbl>
      <w:tblPr>
        <w:tblW w:w="0" w:type="auto"/>
        <w:jc w:val="center"/>
        <w:tblBorders>
          <w:top w:val="single" w:sz="8" w:space="0" w:color="auto"/>
          <w:bottom w:val="single" w:sz="8" w:space="0" w:color="auto"/>
        </w:tblBorders>
        <w:tblLook w:val="04A0" w:firstRow="1" w:lastRow="0" w:firstColumn="1" w:lastColumn="0" w:noHBand="0" w:noVBand="1"/>
      </w:tblPr>
      <w:tblGrid>
        <w:gridCol w:w="1134"/>
        <w:gridCol w:w="1180"/>
        <w:gridCol w:w="855"/>
        <w:gridCol w:w="1934"/>
        <w:gridCol w:w="1701"/>
        <w:gridCol w:w="1508"/>
      </w:tblGrid>
      <w:tr w:rsidR="00207B42" w:rsidRPr="008A401A" w14:paraId="4372C845" w14:textId="0CC6BBC3" w:rsidTr="00A53B5B">
        <w:trPr>
          <w:trHeight w:val="20"/>
          <w:jc w:val="center"/>
        </w:trPr>
        <w:tc>
          <w:tcPr>
            <w:tcW w:w="1134" w:type="dxa"/>
            <w:tcBorders>
              <w:top w:val="single" w:sz="12" w:space="0" w:color="008000"/>
              <w:bottom w:val="single" w:sz="6" w:space="0" w:color="008000"/>
            </w:tcBorders>
            <w:shd w:val="clear" w:color="auto" w:fill="auto"/>
            <w:vAlign w:val="center"/>
            <w:hideMark/>
          </w:tcPr>
          <w:p w14:paraId="2A02AB4F" w14:textId="39B98719" w:rsidR="00207B42" w:rsidRPr="008A401A" w:rsidRDefault="00207B42" w:rsidP="003C5F4F">
            <w:pPr>
              <w:spacing w:line="240" w:lineRule="auto"/>
              <w:jc w:val="center"/>
              <w:rPr>
                <w:rFonts w:eastAsia="等线" w:cs="Arial"/>
                <w:color w:val="000000"/>
                <w:szCs w:val="18"/>
              </w:rPr>
            </w:pPr>
            <w:r w:rsidRPr="008A401A">
              <w:rPr>
                <w:rFonts w:eastAsia="等线" w:cs="Arial"/>
                <w:color w:val="000000"/>
                <w:szCs w:val="18"/>
              </w:rPr>
              <w:t>Scoring criteria</w:t>
            </w:r>
          </w:p>
        </w:tc>
        <w:tc>
          <w:tcPr>
            <w:tcW w:w="1180" w:type="dxa"/>
            <w:tcBorders>
              <w:top w:val="single" w:sz="12" w:space="0" w:color="008000"/>
              <w:bottom w:val="single" w:sz="6" w:space="0" w:color="008000"/>
            </w:tcBorders>
          </w:tcPr>
          <w:p w14:paraId="0581205D" w14:textId="1D809AEF" w:rsidR="00207B42" w:rsidRPr="008A401A" w:rsidRDefault="00207B42" w:rsidP="003C5F4F">
            <w:pPr>
              <w:spacing w:line="240" w:lineRule="auto"/>
              <w:jc w:val="center"/>
              <w:rPr>
                <w:rFonts w:eastAsia="等线" w:cs="Arial"/>
                <w:color w:val="000000"/>
                <w:szCs w:val="18"/>
              </w:rPr>
            </w:pPr>
            <w:r w:rsidRPr="008A401A">
              <w:rPr>
                <w:rFonts w:eastAsia="等线" w:cs="Arial"/>
                <w:color w:val="000000"/>
                <w:szCs w:val="18"/>
              </w:rPr>
              <w:t>1</w:t>
            </w:r>
          </w:p>
        </w:tc>
        <w:tc>
          <w:tcPr>
            <w:tcW w:w="0" w:type="auto"/>
            <w:tcBorders>
              <w:top w:val="single" w:sz="12" w:space="0" w:color="008000"/>
              <w:bottom w:val="single" w:sz="6" w:space="0" w:color="008000"/>
            </w:tcBorders>
          </w:tcPr>
          <w:p w14:paraId="4B1FD4ED" w14:textId="69C475EC" w:rsidR="00207B42" w:rsidRPr="008A401A" w:rsidRDefault="00207B42" w:rsidP="003C5F4F">
            <w:pPr>
              <w:spacing w:line="240" w:lineRule="auto"/>
              <w:jc w:val="center"/>
              <w:rPr>
                <w:rFonts w:eastAsia="等线" w:cs="Arial"/>
                <w:color w:val="000000"/>
                <w:szCs w:val="18"/>
              </w:rPr>
            </w:pPr>
            <w:r w:rsidRPr="008A401A">
              <w:rPr>
                <w:rFonts w:eastAsia="等线" w:cs="Arial"/>
                <w:color w:val="000000"/>
                <w:szCs w:val="18"/>
              </w:rPr>
              <w:t>2~3</w:t>
            </w:r>
          </w:p>
        </w:tc>
        <w:tc>
          <w:tcPr>
            <w:tcW w:w="1934" w:type="dxa"/>
            <w:tcBorders>
              <w:top w:val="single" w:sz="12" w:space="0" w:color="008000"/>
              <w:bottom w:val="single" w:sz="6" w:space="0" w:color="008000"/>
            </w:tcBorders>
          </w:tcPr>
          <w:p w14:paraId="2143EA8F" w14:textId="30ECDA4B" w:rsidR="00207B42" w:rsidRPr="008A401A" w:rsidRDefault="00207B42" w:rsidP="003C5F4F">
            <w:pPr>
              <w:spacing w:line="240" w:lineRule="auto"/>
              <w:jc w:val="center"/>
              <w:rPr>
                <w:rFonts w:eastAsia="等线" w:cs="Arial"/>
                <w:color w:val="000000"/>
                <w:szCs w:val="18"/>
              </w:rPr>
            </w:pPr>
            <w:r w:rsidRPr="008A401A">
              <w:rPr>
                <w:rFonts w:eastAsia="等线" w:cs="Arial"/>
                <w:color w:val="000000"/>
                <w:szCs w:val="18"/>
              </w:rPr>
              <w:t>4~6</w:t>
            </w:r>
          </w:p>
        </w:tc>
        <w:tc>
          <w:tcPr>
            <w:tcW w:w="1701" w:type="dxa"/>
            <w:tcBorders>
              <w:top w:val="single" w:sz="12" w:space="0" w:color="008000"/>
              <w:bottom w:val="single" w:sz="6" w:space="0" w:color="008000"/>
            </w:tcBorders>
          </w:tcPr>
          <w:p w14:paraId="4E4F158A" w14:textId="097F36E2" w:rsidR="00207B42" w:rsidRPr="008A401A" w:rsidRDefault="00207B42" w:rsidP="003C5F4F">
            <w:pPr>
              <w:spacing w:line="240" w:lineRule="auto"/>
              <w:jc w:val="center"/>
              <w:rPr>
                <w:rFonts w:eastAsia="等线" w:cs="Arial"/>
                <w:color w:val="000000"/>
                <w:szCs w:val="18"/>
              </w:rPr>
            </w:pPr>
            <w:r w:rsidRPr="008A401A">
              <w:rPr>
                <w:rFonts w:eastAsia="等线" w:cs="Arial"/>
                <w:color w:val="000000"/>
                <w:szCs w:val="18"/>
              </w:rPr>
              <w:t>7~8</w:t>
            </w:r>
          </w:p>
        </w:tc>
        <w:tc>
          <w:tcPr>
            <w:tcW w:w="1508" w:type="dxa"/>
            <w:tcBorders>
              <w:top w:val="single" w:sz="12" w:space="0" w:color="008000"/>
              <w:bottom w:val="single" w:sz="6" w:space="0" w:color="008000"/>
            </w:tcBorders>
          </w:tcPr>
          <w:p w14:paraId="5A8E63F0" w14:textId="70692216" w:rsidR="00207B42" w:rsidRPr="008A401A" w:rsidRDefault="00207B42" w:rsidP="003C5F4F">
            <w:pPr>
              <w:spacing w:line="240" w:lineRule="auto"/>
              <w:jc w:val="center"/>
              <w:rPr>
                <w:rFonts w:eastAsia="等线" w:cs="Arial"/>
                <w:color w:val="000000"/>
                <w:szCs w:val="18"/>
              </w:rPr>
            </w:pPr>
            <w:r w:rsidRPr="008A401A">
              <w:rPr>
                <w:rFonts w:eastAsia="等线" w:cs="Arial"/>
                <w:color w:val="000000"/>
                <w:szCs w:val="18"/>
              </w:rPr>
              <w:t>9~10</w:t>
            </w:r>
          </w:p>
        </w:tc>
      </w:tr>
      <w:tr w:rsidR="00207B42" w:rsidRPr="008A401A" w14:paraId="34265A4D" w14:textId="50208DC4" w:rsidTr="00A53B5B">
        <w:trPr>
          <w:trHeight w:val="20"/>
          <w:jc w:val="center"/>
        </w:trPr>
        <w:tc>
          <w:tcPr>
            <w:tcW w:w="1134" w:type="dxa"/>
            <w:tcBorders>
              <w:bottom w:val="single" w:sz="12" w:space="0" w:color="008000"/>
            </w:tcBorders>
            <w:shd w:val="clear" w:color="auto" w:fill="auto"/>
            <w:noWrap/>
            <w:vAlign w:val="center"/>
            <w:hideMark/>
          </w:tcPr>
          <w:p w14:paraId="2C2575D6" w14:textId="1A204E9C" w:rsidR="00207B42" w:rsidRPr="008A401A" w:rsidRDefault="00207B42" w:rsidP="003C5F4F">
            <w:pPr>
              <w:spacing w:line="240" w:lineRule="auto"/>
              <w:jc w:val="center"/>
              <w:rPr>
                <w:rFonts w:eastAsia="等线" w:cs="Arial"/>
                <w:color w:val="000000"/>
                <w:szCs w:val="18"/>
              </w:rPr>
            </w:pPr>
            <w:r w:rsidRPr="008A401A">
              <w:rPr>
                <w:rFonts w:eastAsia="等线" w:cs="Arial"/>
                <w:color w:val="000000"/>
                <w:szCs w:val="18"/>
              </w:rPr>
              <w:t>Description</w:t>
            </w:r>
          </w:p>
        </w:tc>
        <w:tc>
          <w:tcPr>
            <w:tcW w:w="1180" w:type="dxa"/>
            <w:tcBorders>
              <w:bottom w:val="single" w:sz="12" w:space="0" w:color="008000"/>
            </w:tcBorders>
          </w:tcPr>
          <w:p w14:paraId="07B061A3" w14:textId="6474717D" w:rsidR="00207B42" w:rsidRPr="008A401A" w:rsidRDefault="00207B42" w:rsidP="003C5F4F">
            <w:pPr>
              <w:spacing w:line="240" w:lineRule="auto"/>
              <w:jc w:val="center"/>
              <w:rPr>
                <w:rFonts w:eastAsia="等线" w:cs="Arial"/>
                <w:color w:val="000000"/>
                <w:szCs w:val="18"/>
              </w:rPr>
            </w:pPr>
            <w:r w:rsidRPr="008A401A">
              <w:rPr>
                <w:rFonts w:eastAsia="等线" w:cs="Arial"/>
                <w:color w:val="000000"/>
                <w:szCs w:val="18"/>
              </w:rPr>
              <w:t>Very low (very ideal)</w:t>
            </w:r>
          </w:p>
        </w:tc>
        <w:tc>
          <w:tcPr>
            <w:tcW w:w="0" w:type="auto"/>
            <w:tcBorders>
              <w:bottom w:val="single" w:sz="12" w:space="0" w:color="008000"/>
            </w:tcBorders>
          </w:tcPr>
          <w:p w14:paraId="132A260D" w14:textId="6232B8CD" w:rsidR="00207B42" w:rsidRPr="008A401A" w:rsidRDefault="00207B42" w:rsidP="003C5F4F">
            <w:pPr>
              <w:spacing w:line="240" w:lineRule="auto"/>
              <w:jc w:val="center"/>
              <w:rPr>
                <w:rFonts w:eastAsia="等线" w:cs="Arial"/>
                <w:color w:val="000000"/>
                <w:szCs w:val="18"/>
              </w:rPr>
            </w:pPr>
            <w:r w:rsidRPr="008A401A">
              <w:rPr>
                <w:rFonts w:eastAsia="等线" w:cs="Arial"/>
                <w:color w:val="000000"/>
                <w:szCs w:val="18"/>
              </w:rPr>
              <w:t>Low (ideal)</w:t>
            </w:r>
          </w:p>
        </w:tc>
        <w:tc>
          <w:tcPr>
            <w:tcW w:w="1934" w:type="dxa"/>
            <w:tcBorders>
              <w:bottom w:val="single" w:sz="12" w:space="0" w:color="008000"/>
            </w:tcBorders>
          </w:tcPr>
          <w:p w14:paraId="2D78C400" w14:textId="4EE87BFF" w:rsidR="00207B42" w:rsidRPr="008A401A" w:rsidRDefault="00207B42" w:rsidP="003C5F4F">
            <w:pPr>
              <w:spacing w:line="240" w:lineRule="auto"/>
              <w:jc w:val="center"/>
              <w:rPr>
                <w:rFonts w:eastAsia="等线" w:cs="Arial"/>
                <w:color w:val="000000"/>
                <w:szCs w:val="18"/>
              </w:rPr>
            </w:pPr>
            <w:r w:rsidRPr="008A401A">
              <w:rPr>
                <w:rFonts w:eastAsia="等线" w:cs="Arial"/>
                <w:color w:val="000000"/>
                <w:szCs w:val="18"/>
              </w:rPr>
              <w:t>Medium (acceptable risk or performance)</w:t>
            </w:r>
          </w:p>
        </w:tc>
        <w:tc>
          <w:tcPr>
            <w:tcW w:w="1701" w:type="dxa"/>
            <w:tcBorders>
              <w:bottom w:val="single" w:sz="12" w:space="0" w:color="008000"/>
            </w:tcBorders>
          </w:tcPr>
          <w:p w14:paraId="1A96F95E" w14:textId="47E9B237" w:rsidR="00207B42" w:rsidRPr="008A401A" w:rsidRDefault="00207B42" w:rsidP="003C5F4F">
            <w:pPr>
              <w:spacing w:line="240" w:lineRule="auto"/>
              <w:jc w:val="center"/>
              <w:rPr>
                <w:rFonts w:eastAsia="等线" w:cs="Arial"/>
                <w:color w:val="000000"/>
                <w:szCs w:val="18"/>
              </w:rPr>
            </w:pPr>
            <w:r w:rsidRPr="008A401A">
              <w:rPr>
                <w:rFonts w:eastAsia="等线" w:cs="Arial"/>
                <w:color w:val="000000"/>
                <w:szCs w:val="18"/>
              </w:rPr>
              <w:t>High (poor, close to non-ideal)</w:t>
            </w:r>
          </w:p>
        </w:tc>
        <w:tc>
          <w:tcPr>
            <w:tcW w:w="1508" w:type="dxa"/>
            <w:tcBorders>
              <w:bottom w:val="single" w:sz="12" w:space="0" w:color="008000"/>
            </w:tcBorders>
          </w:tcPr>
          <w:p w14:paraId="084B0658" w14:textId="6B66B3E1" w:rsidR="00207B42" w:rsidRPr="008A401A" w:rsidRDefault="00207B42" w:rsidP="003C5F4F">
            <w:pPr>
              <w:spacing w:line="240" w:lineRule="auto"/>
              <w:jc w:val="center"/>
              <w:rPr>
                <w:rFonts w:eastAsia="等线" w:cs="Arial"/>
                <w:color w:val="000000"/>
                <w:szCs w:val="18"/>
              </w:rPr>
            </w:pPr>
            <w:r w:rsidRPr="008A401A">
              <w:rPr>
                <w:rFonts w:eastAsia="等线" w:cs="Arial"/>
                <w:color w:val="000000"/>
                <w:szCs w:val="18"/>
              </w:rPr>
              <w:t>Very high (very undesirable)</w:t>
            </w:r>
          </w:p>
        </w:tc>
      </w:tr>
    </w:tbl>
    <w:p w14:paraId="3E63015B" w14:textId="4FFEBAD1" w:rsidR="00774CA2" w:rsidRPr="008A401A" w:rsidRDefault="00774CA2" w:rsidP="00C80428">
      <w:pPr>
        <w:keepNext/>
        <w:snapToGrid w:val="0"/>
        <w:spacing w:line="240" w:lineRule="auto"/>
        <w:jc w:val="center"/>
        <w:rPr>
          <w:rFonts w:cs="Arial"/>
          <w:i/>
          <w:iCs/>
          <w:szCs w:val="18"/>
        </w:rPr>
      </w:pPr>
      <w:bookmarkStart w:id="2" w:name="_Ref184736771"/>
      <w:r w:rsidRPr="008A401A">
        <w:rPr>
          <w:rFonts w:cs="Arial"/>
          <w:i/>
          <w:iCs/>
          <w:szCs w:val="18"/>
        </w:rPr>
        <w:t xml:space="preserve">Table </w:t>
      </w:r>
      <w:r w:rsidRPr="008A401A">
        <w:rPr>
          <w:rFonts w:cs="Arial"/>
          <w:i/>
          <w:iCs/>
          <w:szCs w:val="18"/>
        </w:rPr>
        <w:fldChar w:fldCharType="begin"/>
      </w:r>
      <w:r w:rsidRPr="008A401A">
        <w:rPr>
          <w:rFonts w:cs="Arial"/>
          <w:i/>
          <w:iCs/>
          <w:szCs w:val="18"/>
        </w:rPr>
        <w:instrText xml:space="preserve"> SEQ Table \* ARABIC </w:instrText>
      </w:r>
      <w:r w:rsidRPr="008A401A">
        <w:rPr>
          <w:rFonts w:cs="Arial"/>
          <w:i/>
          <w:iCs/>
          <w:szCs w:val="18"/>
        </w:rPr>
        <w:fldChar w:fldCharType="separate"/>
      </w:r>
      <w:r w:rsidR="00F004FF" w:rsidRPr="008A401A">
        <w:rPr>
          <w:rFonts w:cs="Arial"/>
          <w:i/>
          <w:iCs/>
          <w:noProof/>
          <w:szCs w:val="18"/>
        </w:rPr>
        <w:t>2</w:t>
      </w:r>
      <w:r w:rsidRPr="008A401A">
        <w:rPr>
          <w:rFonts w:cs="Arial"/>
          <w:i/>
          <w:iCs/>
          <w:szCs w:val="18"/>
        </w:rPr>
        <w:fldChar w:fldCharType="end"/>
      </w:r>
      <w:bookmarkEnd w:id="2"/>
      <w:r w:rsidRPr="008A401A">
        <w:rPr>
          <w:rFonts w:cs="Arial"/>
          <w:i/>
          <w:iCs/>
          <w:szCs w:val="18"/>
        </w:rPr>
        <w:t xml:space="preserve"> Systematic Scoring and Weighting of Electrolysis Technology</w:t>
      </w:r>
    </w:p>
    <w:tbl>
      <w:tblPr>
        <w:tblW w:w="5000" w:type="pct"/>
        <w:tblBorders>
          <w:top w:val="single" w:sz="8" w:space="0" w:color="auto"/>
          <w:bottom w:val="single" w:sz="8" w:space="0" w:color="auto"/>
        </w:tblBorders>
        <w:shd w:val="clear" w:color="auto" w:fill="FFFFFF" w:themeFill="background1"/>
        <w:tblLayout w:type="fixed"/>
        <w:tblLook w:val="04A0" w:firstRow="1" w:lastRow="0" w:firstColumn="1" w:lastColumn="0" w:noHBand="0" w:noVBand="1"/>
      </w:tblPr>
      <w:tblGrid>
        <w:gridCol w:w="1985"/>
        <w:gridCol w:w="567"/>
        <w:gridCol w:w="2977"/>
        <w:gridCol w:w="567"/>
        <w:gridCol w:w="2216"/>
      </w:tblGrid>
      <w:tr w:rsidR="00D54B28" w:rsidRPr="008A401A" w14:paraId="0C4DB082" w14:textId="77777777" w:rsidTr="00B87402">
        <w:trPr>
          <w:trHeight w:val="49"/>
          <w:tblHeader/>
        </w:trPr>
        <w:tc>
          <w:tcPr>
            <w:tcW w:w="1194" w:type="pct"/>
            <w:tcBorders>
              <w:top w:val="single" w:sz="6" w:space="0" w:color="008000"/>
            </w:tcBorders>
            <w:shd w:val="clear" w:color="auto" w:fill="FFFFFF" w:themeFill="background1"/>
            <w:vAlign w:val="center"/>
          </w:tcPr>
          <w:p w14:paraId="7ECF91FC" w14:textId="0FC14352" w:rsidR="009757B3" w:rsidRPr="008A401A" w:rsidRDefault="009757B3" w:rsidP="0078777C">
            <w:pPr>
              <w:spacing w:line="240" w:lineRule="auto"/>
              <w:jc w:val="center"/>
              <w:rPr>
                <w:rFonts w:eastAsia="等线" w:cs="Arial"/>
                <w:color w:val="000000"/>
                <w:szCs w:val="18"/>
              </w:rPr>
            </w:pPr>
            <w:r w:rsidRPr="008A401A">
              <w:rPr>
                <w:rFonts w:eastAsia="等线" w:cs="Arial"/>
                <w:color w:val="000000"/>
                <w:szCs w:val="18"/>
              </w:rPr>
              <w:t>Category of Indicators</w:t>
            </w:r>
          </w:p>
        </w:tc>
        <w:tc>
          <w:tcPr>
            <w:tcW w:w="341" w:type="pct"/>
            <w:tcBorders>
              <w:top w:val="single" w:sz="6" w:space="0" w:color="008000"/>
            </w:tcBorders>
            <w:shd w:val="clear" w:color="auto" w:fill="FFFFFF" w:themeFill="background1"/>
            <w:vAlign w:val="center"/>
          </w:tcPr>
          <w:p w14:paraId="7C206296" w14:textId="044047AE" w:rsidR="009757B3" w:rsidRPr="00FD607A" w:rsidRDefault="009757B3" w:rsidP="0078777C">
            <w:pPr>
              <w:spacing w:line="240" w:lineRule="auto"/>
              <w:jc w:val="center"/>
            </w:pPr>
            <w:r w:rsidRPr="008A401A">
              <w:rPr>
                <w:rFonts w:eastAsia="等线" w:cs="Arial"/>
                <w:color w:val="000000"/>
                <w:szCs w:val="18"/>
              </w:rPr>
              <w:t>Score</w:t>
            </w:r>
          </w:p>
        </w:tc>
        <w:tc>
          <w:tcPr>
            <w:tcW w:w="1791" w:type="pct"/>
            <w:tcBorders>
              <w:top w:val="single" w:sz="6" w:space="0" w:color="008000"/>
            </w:tcBorders>
            <w:shd w:val="clear" w:color="auto" w:fill="FFFFFF" w:themeFill="background1"/>
            <w:vAlign w:val="center"/>
          </w:tcPr>
          <w:p w14:paraId="01730005" w14:textId="310A9C1A" w:rsidR="009757B3" w:rsidRPr="00FD607A" w:rsidRDefault="009757B3" w:rsidP="0078777C">
            <w:pPr>
              <w:spacing w:line="240" w:lineRule="auto"/>
              <w:jc w:val="center"/>
            </w:pPr>
            <w:r w:rsidRPr="008A401A">
              <w:rPr>
                <w:rFonts w:eastAsia="等线" w:cs="Arial"/>
                <w:color w:val="000000"/>
                <w:szCs w:val="18"/>
              </w:rPr>
              <w:t>Description</w:t>
            </w:r>
          </w:p>
        </w:tc>
        <w:tc>
          <w:tcPr>
            <w:tcW w:w="341" w:type="pct"/>
            <w:tcBorders>
              <w:top w:val="single" w:sz="6" w:space="0" w:color="008000"/>
            </w:tcBorders>
            <w:shd w:val="clear" w:color="auto" w:fill="FFFFFF" w:themeFill="background1"/>
            <w:vAlign w:val="center"/>
          </w:tcPr>
          <w:p w14:paraId="33D4661B" w14:textId="7F136CA1" w:rsidR="009757B3" w:rsidRPr="00FD607A" w:rsidRDefault="009757B3" w:rsidP="0078777C">
            <w:pPr>
              <w:spacing w:line="240" w:lineRule="auto"/>
              <w:jc w:val="center"/>
            </w:pPr>
            <w:r w:rsidRPr="008A401A">
              <w:rPr>
                <w:rFonts w:eastAsia="等线" w:cs="Arial"/>
                <w:color w:val="000000"/>
                <w:szCs w:val="18"/>
              </w:rPr>
              <w:t>Weight</w:t>
            </w:r>
          </w:p>
        </w:tc>
        <w:tc>
          <w:tcPr>
            <w:tcW w:w="1333" w:type="pct"/>
            <w:tcBorders>
              <w:top w:val="single" w:sz="6" w:space="0" w:color="008000"/>
            </w:tcBorders>
            <w:shd w:val="clear" w:color="auto" w:fill="FFFFFF" w:themeFill="background1"/>
            <w:vAlign w:val="center"/>
          </w:tcPr>
          <w:p w14:paraId="765DECAD" w14:textId="273B5EDE" w:rsidR="009757B3" w:rsidRPr="00FD607A" w:rsidRDefault="009757B3" w:rsidP="0078777C">
            <w:pPr>
              <w:spacing w:line="240" w:lineRule="auto"/>
              <w:jc w:val="center"/>
            </w:pPr>
            <w:r w:rsidRPr="008A401A">
              <w:rPr>
                <w:rFonts w:eastAsia="等线" w:cs="Arial"/>
                <w:color w:val="000000"/>
                <w:szCs w:val="18"/>
              </w:rPr>
              <w:t>Description</w:t>
            </w:r>
          </w:p>
        </w:tc>
      </w:tr>
      <w:tr w:rsidR="009757B3" w:rsidRPr="008A401A" w14:paraId="04E8A29D" w14:textId="77777777" w:rsidTr="003F2E4A">
        <w:trPr>
          <w:trHeight w:val="49"/>
        </w:trPr>
        <w:tc>
          <w:tcPr>
            <w:tcW w:w="5000" w:type="pct"/>
            <w:gridSpan w:val="5"/>
            <w:tcBorders>
              <w:top w:val="single" w:sz="6" w:space="0" w:color="008000"/>
            </w:tcBorders>
            <w:shd w:val="clear" w:color="auto" w:fill="FFFFFF" w:themeFill="background1"/>
            <w:vAlign w:val="center"/>
          </w:tcPr>
          <w:p w14:paraId="0892DB02" w14:textId="547A0804" w:rsidR="009757B3" w:rsidRPr="00FD607A" w:rsidRDefault="009757B3" w:rsidP="006D67DD">
            <w:pPr>
              <w:spacing w:line="240" w:lineRule="auto"/>
              <w:jc w:val="center"/>
            </w:pPr>
            <w:r w:rsidRPr="008A401A">
              <w:rPr>
                <w:rFonts w:eastAsia="等线" w:cs="Arial"/>
                <w:color w:val="000000"/>
                <w:szCs w:val="18"/>
              </w:rPr>
              <w:t>Properties</w:t>
            </w:r>
          </w:p>
        </w:tc>
      </w:tr>
      <w:tr w:rsidR="00D54B28" w:rsidRPr="008A401A" w14:paraId="180DD4E2" w14:textId="77777777" w:rsidTr="00D54B28">
        <w:trPr>
          <w:trHeight w:val="49"/>
        </w:trPr>
        <w:tc>
          <w:tcPr>
            <w:tcW w:w="1194" w:type="pct"/>
            <w:tcBorders>
              <w:top w:val="single" w:sz="6" w:space="0" w:color="008000"/>
            </w:tcBorders>
            <w:shd w:val="clear" w:color="auto" w:fill="FFFFFF" w:themeFill="background1"/>
            <w:vAlign w:val="center"/>
            <w:hideMark/>
          </w:tcPr>
          <w:p w14:paraId="5B4ABDA7"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Flammability</w:t>
            </w:r>
          </w:p>
        </w:tc>
        <w:tc>
          <w:tcPr>
            <w:tcW w:w="341" w:type="pct"/>
            <w:tcBorders>
              <w:top w:val="single" w:sz="6" w:space="0" w:color="008000"/>
            </w:tcBorders>
            <w:shd w:val="clear" w:color="auto" w:fill="FFFFFF" w:themeFill="background1"/>
            <w:hideMark/>
          </w:tcPr>
          <w:p w14:paraId="5D5A99FD" w14:textId="6DFBC360" w:rsidR="009757B3" w:rsidRPr="008A401A" w:rsidRDefault="009757B3" w:rsidP="006D67DD">
            <w:pPr>
              <w:spacing w:line="240" w:lineRule="auto"/>
              <w:jc w:val="center"/>
              <w:rPr>
                <w:rFonts w:eastAsia="等线" w:cs="Arial"/>
                <w:color w:val="000000"/>
                <w:szCs w:val="18"/>
              </w:rPr>
            </w:pPr>
            <w:r w:rsidRPr="00FD607A">
              <w:t>8</w:t>
            </w:r>
          </w:p>
        </w:tc>
        <w:tc>
          <w:tcPr>
            <w:tcW w:w="1791" w:type="pct"/>
            <w:tcBorders>
              <w:top w:val="single" w:sz="6" w:space="0" w:color="008000"/>
            </w:tcBorders>
            <w:shd w:val="clear" w:color="auto" w:fill="FFFFFF" w:themeFill="background1"/>
            <w:hideMark/>
          </w:tcPr>
          <w:p w14:paraId="77D27572" w14:textId="36F115B6" w:rsidR="009757B3" w:rsidRPr="00CC6352" w:rsidRDefault="009757B3" w:rsidP="006D67DD">
            <w:pPr>
              <w:spacing w:line="240" w:lineRule="auto"/>
              <w:jc w:val="center"/>
              <w:rPr>
                <w:rFonts w:eastAsiaTheme="minorEastAsia" w:cs="Arial"/>
                <w:color w:val="000000"/>
                <w:szCs w:val="18"/>
                <w:lang w:eastAsia="zh-CN"/>
              </w:rPr>
            </w:pPr>
            <w:r w:rsidRPr="00FD607A">
              <w:t>Hydrogen accumulation risk</w:t>
            </w:r>
          </w:p>
        </w:tc>
        <w:tc>
          <w:tcPr>
            <w:tcW w:w="341" w:type="pct"/>
            <w:tcBorders>
              <w:top w:val="single" w:sz="6" w:space="0" w:color="008000"/>
            </w:tcBorders>
            <w:shd w:val="clear" w:color="auto" w:fill="FFFFFF" w:themeFill="background1"/>
            <w:hideMark/>
          </w:tcPr>
          <w:p w14:paraId="5FF07DE3" w14:textId="34077845" w:rsidR="009757B3" w:rsidRPr="008A401A" w:rsidRDefault="009757B3" w:rsidP="006D67DD">
            <w:pPr>
              <w:spacing w:line="240" w:lineRule="auto"/>
              <w:jc w:val="center"/>
              <w:rPr>
                <w:rFonts w:eastAsia="等线" w:cs="Arial"/>
                <w:color w:val="000000"/>
                <w:szCs w:val="18"/>
              </w:rPr>
            </w:pPr>
            <w:r w:rsidRPr="00FD607A">
              <w:t>5%</w:t>
            </w:r>
          </w:p>
        </w:tc>
        <w:tc>
          <w:tcPr>
            <w:tcW w:w="1333" w:type="pct"/>
            <w:tcBorders>
              <w:top w:val="single" w:sz="6" w:space="0" w:color="008000"/>
            </w:tcBorders>
            <w:shd w:val="clear" w:color="auto" w:fill="FFFFFF" w:themeFill="background1"/>
            <w:hideMark/>
          </w:tcPr>
          <w:p w14:paraId="281A67D3" w14:textId="466E1DC4" w:rsidR="009757B3" w:rsidRPr="008A401A" w:rsidRDefault="009757B3" w:rsidP="006D67DD">
            <w:pPr>
              <w:spacing w:line="240" w:lineRule="auto"/>
              <w:jc w:val="center"/>
              <w:rPr>
                <w:rFonts w:eastAsia="等线" w:cs="Arial"/>
                <w:color w:val="000000"/>
                <w:szCs w:val="18"/>
              </w:rPr>
            </w:pPr>
            <w:r w:rsidRPr="00FD607A">
              <w:t>Highly flammable</w:t>
            </w:r>
          </w:p>
        </w:tc>
      </w:tr>
      <w:tr w:rsidR="00D54B28" w:rsidRPr="008A401A" w14:paraId="5C5700BC" w14:textId="77777777" w:rsidTr="00D54B28">
        <w:trPr>
          <w:trHeight w:val="20"/>
        </w:trPr>
        <w:tc>
          <w:tcPr>
            <w:tcW w:w="1194" w:type="pct"/>
            <w:shd w:val="clear" w:color="auto" w:fill="FFFFFF" w:themeFill="background1"/>
            <w:vAlign w:val="center"/>
            <w:hideMark/>
          </w:tcPr>
          <w:p w14:paraId="2B0F8820"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Explosiveness</w:t>
            </w:r>
          </w:p>
        </w:tc>
        <w:tc>
          <w:tcPr>
            <w:tcW w:w="341" w:type="pct"/>
            <w:shd w:val="clear" w:color="auto" w:fill="FFFFFF" w:themeFill="background1"/>
            <w:hideMark/>
          </w:tcPr>
          <w:p w14:paraId="0DE60586" w14:textId="7B1A563F" w:rsidR="009757B3" w:rsidRPr="008A401A" w:rsidRDefault="009757B3" w:rsidP="006D67DD">
            <w:pPr>
              <w:spacing w:line="240" w:lineRule="auto"/>
              <w:jc w:val="center"/>
              <w:rPr>
                <w:rFonts w:eastAsia="等线" w:cs="Arial"/>
                <w:color w:val="000000"/>
                <w:szCs w:val="18"/>
              </w:rPr>
            </w:pPr>
            <w:r w:rsidRPr="00FD607A">
              <w:t>9</w:t>
            </w:r>
          </w:p>
        </w:tc>
        <w:tc>
          <w:tcPr>
            <w:tcW w:w="1791" w:type="pct"/>
            <w:shd w:val="clear" w:color="auto" w:fill="FFFFFF" w:themeFill="background1"/>
            <w:hideMark/>
          </w:tcPr>
          <w:p w14:paraId="4C6EAD9C" w14:textId="0B6508E1" w:rsidR="009757B3" w:rsidRPr="008A401A" w:rsidRDefault="009757B3" w:rsidP="006D67DD">
            <w:pPr>
              <w:spacing w:line="240" w:lineRule="auto"/>
              <w:jc w:val="center"/>
              <w:rPr>
                <w:rFonts w:eastAsia="等线" w:cs="Arial"/>
                <w:color w:val="000000"/>
                <w:szCs w:val="18"/>
              </w:rPr>
            </w:pPr>
            <w:r w:rsidRPr="00FD607A">
              <w:t>High-voltage sparks risk</w:t>
            </w:r>
          </w:p>
        </w:tc>
        <w:tc>
          <w:tcPr>
            <w:tcW w:w="341" w:type="pct"/>
            <w:shd w:val="clear" w:color="auto" w:fill="FFFFFF" w:themeFill="background1"/>
            <w:hideMark/>
          </w:tcPr>
          <w:p w14:paraId="4D0721E6" w14:textId="62177F3E" w:rsidR="009757B3" w:rsidRPr="008A401A" w:rsidRDefault="009757B3" w:rsidP="006D67DD">
            <w:pPr>
              <w:spacing w:line="240" w:lineRule="auto"/>
              <w:jc w:val="center"/>
              <w:rPr>
                <w:rFonts w:eastAsia="等线" w:cs="Arial"/>
                <w:color w:val="000000"/>
                <w:szCs w:val="18"/>
              </w:rPr>
            </w:pPr>
            <w:r w:rsidRPr="00FD607A">
              <w:t>5%</w:t>
            </w:r>
          </w:p>
        </w:tc>
        <w:tc>
          <w:tcPr>
            <w:tcW w:w="1333" w:type="pct"/>
            <w:shd w:val="clear" w:color="auto" w:fill="FFFFFF" w:themeFill="background1"/>
            <w:hideMark/>
          </w:tcPr>
          <w:p w14:paraId="25AC416F" w14:textId="3A795C45" w:rsidR="009757B3" w:rsidRPr="008A401A" w:rsidRDefault="009757B3" w:rsidP="006D67DD">
            <w:pPr>
              <w:spacing w:line="240" w:lineRule="auto"/>
              <w:jc w:val="center"/>
              <w:rPr>
                <w:rFonts w:eastAsia="等线" w:cs="Arial"/>
                <w:color w:val="000000"/>
                <w:szCs w:val="18"/>
              </w:rPr>
            </w:pPr>
            <w:r w:rsidRPr="00FD607A">
              <w:t>-</w:t>
            </w:r>
          </w:p>
        </w:tc>
      </w:tr>
      <w:tr w:rsidR="00D54B28" w:rsidRPr="008A401A" w14:paraId="06E2FEEC" w14:textId="77777777" w:rsidTr="00D54B28">
        <w:trPr>
          <w:trHeight w:val="20"/>
        </w:trPr>
        <w:tc>
          <w:tcPr>
            <w:tcW w:w="1194" w:type="pct"/>
            <w:shd w:val="clear" w:color="auto" w:fill="FFFFFF" w:themeFill="background1"/>
            <w:vAlign w:val="center"/>
            <w:hideMark/>
          </w:tcPr>
          <w:p w14:paraId="4E76787E"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Toxicity</w:t>
            </w:r>
          </w:p>
        </w:tc>
        <w:tc>
          <w:tcPr>
            <w:tcW w:w="341" w:type="pct"/>
            <w:shd w:val="clear" w:color="auto" w:fill="FFFFFF" w:themeFill="background1"/>
            <w:hideMark/>
          </w:tcPr>
          <w:p w14:paraId="31F96752" w14:textId="06DDA564" w:rsidR="009757B3" w:rsidRPr="008A401A" w:rsidRDefault="009757B3" w:rsidP="006D67DD">
            <w:pPr>
              <w:spacing w:line="240" w:lineRule="auto"/>
              <w:jc w:val="center"/>
              <w:rPr>
                <w:rFonts w:eastAsia="等线" w:cs="Arial"/>
                <w:color w:val="000000"/>
                <w:szCs w:val="18"/>
              </w:rPr>
            </w:pPr>
            <w:r w:rsidRPr="00FD607A">
              <w:t>5</w:t>
            </w:r>
          </w:p>
        </w:tc>
        <w:tc>
          <w:tcPr>
            <w:tcW w:w="1791" w:type="pct"/>
            <w:shd w:val="clear" w:color="auto" w:fill="FFFFFF" w:themeFill="background1"/>
            <w:hideMark/>
          </w:tcPr>
          <w:p w14:paraId="47FD7DB2" w14:textId="3478B493" w:rsidR="009757B3" w:rsidRPr="008A401A" w:rsidRDefault="009757B3" w:rsidP="006D67DD">
            <w:pPr>
              <w:spacing w:line="240" w:lineRule="auto"/>
              <w:jc w:val="center"/>
              <w:rPr>
                <w:rFonts w:eastAsia="等线" w:cs="Arial"/>
                <w:color w:val="000000"/>
                <w:szCs w:val="18"/>
              </w:rPr>
            </w:pPr>
            <w:r w:rsidRPr="00FD607A">
              <w:t>Potential toxic releases</w:t>
            </w:r>
          </w:p>
        </w:tc>
        <w:tc>
          <w:tcPr>
            <w:tcW w:w="341" w:type="pct"/>
            <w:shd w:val="clear" w:color="auto" w:fill="FFFFFF" w:themeFill="background1"/>
            <w:hideMark/>
          </w:tcPr>
          <w:p w14:paraId="62CBE563" w14:textId="3E9509CF" w:rsidR="009757B3" w:rsidRPr="008A401A" w:rsidRDefault="009757B3" w:rsidP="006D67DD">
            <w:pPr>
              <w:spacing w:line="240" w:lineRule="auto"/>
              <w:jc w:val="center"/>
              <w:rPr>
                <w:rFonts w:eastAsia="等线" w:cs="Arial"/>
                <w:color w:val="000000"/>
                <w:szCs w:val="18"/>
              </w:rPr>
            </w:pPr>
            <w:r w:rsidRPr="00FD607A">
              <w:t>3%</w:t>
            </w:r>
          </w:p>
        </w:tc>
        <w:tc>
          <w:tcPr>
            <w:tcW w:w="1333" w:type="pct"/>
            <w:shd w:val="clear" w:color="auto" w:fill="FFFFFF" w:themeFill="background1"/>
            <w:hideMark/>
          </w:tcPr>
          <w:p w14:paraId="432BEAFF" w14:textId="5CE9FA83" w:rsidR="009757B3" w:rsidRPr="008A401A" w:rsidRDefault="009757B3" w:rsidP="006D67DD">
            <w:pPr>
              <w:spacing w:line="240" w:lineRule="auto"/>
              <w:jc w:val="center"/>
              <w:rPr>
                <w:rFonts w:eastAsia="等线" w:cs="Arial"/>
                <w:color w:val="000000"/>
                <w:szCs w:val="18"/>
              </w:rPr>
            </w:pPr>
            <w:r w:rsidRPr="00FD607A">
              <w:t>Explosion risk high</w:t>
            </w:r>
          </w:p>
        </w:tc>
      </w:tr>
      <w:tr w:rsidR="00D54B28" w:rsidRPr="008A401A" w14:paraId="19D5DE45" w14:textId="77777777" w:rsidTr="00D54B28">
        <w:trPr>
          <w:trHeight w:val="20"/>
        </w:trPr>
        <w:tc>
          <w:tcPr>
            <w:tcW w:w="1194" w:type="pct"/>
            <w:shd w:val="clear" w:color="auto" w:fill="FFFFFF" w:themeFill="background1"/>
            <w:vAlign w:val="center"/>
            <w:hideMark/>
          </w:tcPr>
          <w:p w14:paraId="1FFE2B34"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Corrosiveness</w:t>
            </w:r>
          </w:p>
        </w:tc>
        <w:tc>
          <w:tcPr>
            <w:tcW w:w="341" w:type="pct"/>
            <w:shd w:val="clear" w:color="auto" w:fill="FFFFFF" w:themeFill="background1"/>
            <w:hideMark/>
          </w:tcPr>
          <w:p w14:paraId="74CC230F" w14:textId="02F41E4A" w:rsidR="009757B3" w:rsidRPr="008A401A" w:rsidRDefault="009757B3" w:rsidP="006D67DD">
            <w:pPr>
              <w:spacing w:line="240" w:lineRule="auto"/>
              <w:jc w:val="center"/>
              <w:rPr>
                <w:rFonts w:eastAsia="等线" w:cs="Arial"/>
                <w:color w:val="000000"/>
                <w:szCs w:val="18"/>
              </w:rPr>
            </w:pPr>
            <w:r w:rsidRPr="00FD607A">
              <w:t>7</w:t>
            </w:r>
          </w:p>
        </w:tc>
        <w:tc>
          <w:tcPr>
            <w:tcW w:w="1791" w:type="pct"/>
            <w:shd w:val="clear" w:color="auto" w:fill="FFFFFF" w:themeFill="background1"/>
            <w:hideMark/>
          </w:tcPr>
          <w:p w14:paraId="5669E6FE" w14:textId="65846E03" w:rsidR="009757B3" w:rsidRPr="008A401A" w:rsidRDefault="009757B3" w:rsidP="006D67DD">
            <w:pPr>
              <w:spacing w:line="240" w:lineRule="auto"/>
              <w:jc w:val="center"/>
              <w:rPr>
                <w:rFonts w:eastAsia="等线" w:cs="Arial"/>
                <w:color w:val="000000"/>
                <w:szCs w:val="18"/>
              </w:rPr>
            </w:pPr>
            <w:r w:rsidRPr="00FD607A">
              <w:t>Corrosive electrolyte</w:t>
            </w:r>
          </w:p>
        </w:tc>
        <w:tc>
          <w:tcPr>
            <w:tcW w:w="341" w:type="pct"/>
            <w:shd w:val="clear" w:color="auto" w:fill="FFFFFF" w:themeFill="background1"/>
            <w:hideMark/>
          </w:tcPr>
          <w:p w14:paraId="37CF7185" w14:textId="77E46EF2" w:rsidR="009757B3" w:rsidRPr="008A401A" w:rsidRDefault="009757B3" w:rsidP="006D67DD">
            <w:pPr>
              <w:spacing w:line="240" w:lineRule="auto"/>
              <w:jc w:val="center"/>
              <w:rPr>
                <w:rFonts w:eastAsia="等线" w:cs="Arial"/>
                <w:color w:val="000000"/>
                <w:szCs w:val="18"/>
              </w:rPr>
            </w:pPr>
            <w:r w:rsidRPr="00FD607A">
              <w:t>3%</w:t>
            </w:r>
          </w:p>
        </w:tc>
        <w:tc>
          <w:tcPr>
            <w:tcW w:w="1333" w:type="pct"/>
            <w:shd w:val="clear" w:color="auto" w:fill="FFFFFF" w:themeFill="background1"/>
            <w:hideMark/>
          </w:tcPr>
          <w:p w14:paraId="2C42CD97" w14:textId="1181249D" w:rsidR="009757B3" w:rsidRPr="008A401A" w:rsidRDefault="009757B3" w:rsidP="006D67DD">
            <w:pPr>
              <w:spacing w:line="240" w:lineRule="auto"/>
              <w:jc w:val="center"/>
              <w:rPr>
                <w:rFonts w:eastAsia="等线" w:cs="Arial"/>
                <w:color w:val="000000"/>
                <w:szCs w:val="18"/>
              </w:rPr>
            </w:pPr>
            <w:r w:rsidRPr="00FD607A">
              <w:t>-</w:t>
            </w:r>
          </w:p>
        </w:tc>
      </w:tr>
      <w:tr w:rsidR="00D54B28" w:rsidRPr="008A401A" w14:paraId="01A0614D" w14:textId="77777777" w:rsidTr="00D54B28">
        <w:trPr>
          <w:trHeight w:val="20"/>
        </w:trPr>
        <w:tc>
          <w:tcPr>
            <w:tcW w:w="1194" w:type="pct"/>
            <w:shd w:val="clear" w:color="auto" w:fill="FFFFFF" w:themeFill="background1"/>
            <w:vAlign w:val="center"/>
            <w:hideMark/>
          </w:tcPr>
          <w:p w14:paraId="2CDF00E7"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Volatility</w:t>
            </w:r>
          </w:p>
        </w:tc>
        <w:tc>
          <w:tcPr>
            <w:tcW w:w="341" w:type="pct"/>
            <w:shd w:val="clear" w:color="auto" w:fill="FFFFFF" w:themeFill="background1"/>
            <w:hideMark/>
          </w:tcPr>
          <w:p w14:paraId="02327417" w14:textId="4DA49DCF" w:rsidR="009757B3" w:rsidRPr="008A401A" w:rsidRDefault="009757B3" w:rsidP="006D67DD">
            <w:pPr>
              <w:spacing w:line="240" w:lineRule="auto"/>
              <w:jc w:val="center"/>
              <w:rPr>
                <w:rFonts w:eastAsia="等线" w:cs="Arial"/>
                <w:color w:val="000000"/>
                <w:szCs w:val="18"/>
              </w:rPr>
            </w:pPr>
            <w:r w:rsidRPr="00FD607A">
              <w:t>4</w:t>
            </w:r>
          </w:p>
        </w:tc>
        <w:tc>
          <w:tcPr>
            <w:tcW w:w="1791" w:type="pct"/>
            <w:shd w:val="clear" w:color="auto" w:fill="FFFFFF" w:themeFill="background1"/>
            <w:hideMark/>
          </w:tcPr>
          <w:p w14:paraId="649C457C" w14:textId="1DA5604A" w:rsidR="009757B3" w:rsidRPr="008A401A" w:rsidRDefault="009757B3" w:rsidP="006D67DD">
            <w:pPr>
              <w:spacing w:line="240" w:lineRule="auto"/>
              <w:jc w:val="center"/>
              <w:rPr>
                <w:rFonts w:eastAsia="等线" w:cs="Arial"/>
                <w:color w:val="000000"/>
                <w:szCs w:val="18"/>
              </w:rPr>
            </w:pPr>
            <w:r w:rsidRPr="00FD607A">
              <w:t>Electrolyte evaporation risk</w:t>
            </w:r>
          </w:p>
        </w:tc>
        <w:tc>
          <w:tcPr>
            <w:tcW w:w="341" w:type="pct"/>
            <w:shd w:val="clear" w:color="auto" w:fill="FFFFFF" w:themeFill="background1"/>
            <w:hideMark/>
          </w:tcPr>
          <w:p w14:paraId="5A22898D" w14:textId="7DFCA8D8" w:rsidR="009757B3" w:rsidRPr="008A401A" w:rsidRDefault="009757B3" w:rsidP="006D67DD">
            <w:pPr>
              <w:spacing w:line="240" w:lineRule="auto"/>
              <w:jc w:val="center"/>
              <w:rPr>
                <w:rFonts w:eastAsia="等线" w:cs="Arial"/>
                <w:color w:val="000000"/>
                <w:szCs w:val="18"/>
              </w:rPr>
            </w:pPr>
            <w:r w:rsidRPr="00FD607A">
              <w:t>2%</w:t>
            </w:r>
          </w:p>
        </w:tc>
        <w:tc>
          <w:tcPr>
            <w:tcW w:w="1333" w:type="pct"/>
            <w:shd w:val="clear" w:color="auto" w:fill="FFFFFF" w:themeFill="background1"/>
            <w:hideMark/>
          </w:tcPr>
          <w:p w14:paraId="7A03DF74" w14:textId="7FA7C121" w:rsidR="009757B3" w:rsidRPr="008A401A" w:rsidRDefault="009757B3" w:rsidP="006D67DD">
            <w:pPr>
              <w:spacing w:line="240" w:lineRule="auto"/>
              <w:jc w:val="center"/>
              <w:rPr>
                <w:rFonts w:eastAsia="等线" w:cs="Arial"/>
                <w:color w:val="000000"/>
                <w:szCs w:val="18"/>
              </w:rPr>
            </w:pPr>
            <w:r w:rsidRPr="00FD607A">
              <w:t>Minor toxic risks</w:t>
            </w:r>
          </w:p>
        </w:tc>
      </w:tr>
      <w:tr w:rsidR="00D54B28" w:rsidRPr="008A401A" w14:paraId="6A11E0DC" w14:textId="77777777" w:rsidTr="00D54B28">
        <w:trPr>
          <w:trHeight w:val="20"/>
        </w:trPr>
        <w:tc>
          <w:tcPr>
            <w:tcW w:w="1194" w:type="pct"/>
            <w:shd w:val="clear" w:color="auto" w:fill="FFFFFF" w:themeFill="background1"/>
            <w:vAlign w:val="center"/>
            <w:hideMark/>
          </w:tcPr>
          <w:p w14:paraId="1966A0BF"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State of material</w:t>
            </w:r>
          </w:p>
        </w:tc>
        <w:tc>
          <w:tcPr>
            <w:tcW w:w="341" w:type="pct"/>
            <w:shd w:val="clear" w:color="auto" w:fill="FFFFFF" w:themeFill="background1"/>
            <w:hideMark/>
          </w:tcPr>
          <w:p w14:paraId="113180C3" w14:textId="2AECDCD4" w:rsidR="009757B3" w:rsidRPr="008A401A" w:rsidRDefault="009757B3" w:rsidP="006D67DD">
            <w:pPr>
              <w:spacing w:line="240" w:lineRule="auto"/>
              <w:jc w:val="center"/>
              <w:rPr>
                <w:rFonts w:eastAsia="等线" w:cs="Arial"/>
                <w:color w:val="000000"/>
                <w:szCs w:val="18"/>
              </w:rPr>
            </w:pPr>
            <w:r w:rsidRPr="00FD607A">
              <w:t>4</w:t>
            </w:r>
          </w:p>
        </w:tc>
        <w:tc>
          <w:tcPr>
            <w:tcW w:w="1791" w:type="pct"/>
            <w:shd w:val="clear" w:color="auto" w:fill="FFFFFF" w:themeFill="background1"/>
            <w:hideMark/>
          </w:tcPr>
          <w:p w14:paraId="33257AF7" w14:textId="4B0EA0D9" w:rsidR="009757B3" w:rsidRPr="008A401A" w:rsidRDefault="009757B3" w:rsidP="006D67DD">
            <w:pPr>
              <w:spacing w:line="240" w:lineRule="auto"/>
              <w:jc w:val="center"/>
              <w:rPr>
                <w:rFonts w:eastAsia="等线" w:cs="Arial"/>
                <w:color w:val="000000"/>
                <w:szCs w:val="18"/>
              </w:rPr>
            </w:pPr>
            <w:r w:rsidRPr="00FD607A">
              <w:t>Leakage-prone electrolyte</w:t>
            </w:r>
          </w:p>
        </w:tc>
        <w:tc>
          <w:tcPr>
            <w:tcW w:w="341" w:type="pct"/>
            <w:shd w:val="clear" w:color="auto" w:fill="FFFFFF" w:themeFill="background1"/>
            <w:hideMark/>
          </w:tcPr>
          <w:p w14:paraId="3FEB27D1" w14:textId="541F9C67" w:rsidR="009757B3" w:rsidRPr="008A401A" w:rsidRDefault="009757B3" w:rsidP="006D67DD">
            <w:pPr>
              <w:spacing w:line="240" w:lineRule="auto"/>
              <w:jc w:val="center"/>
              <w:rPr>
                <w:rFonts w:eastAsia="等线" w:cs="Arial"/>
                <w:color w:val="000000"/>
                <w:szCs w:val="18"/>
              </w:rPr>
            </w:pPr>
            <w:r w:rsidRPr="00FD607A">
              <w:t>2%</w:t>
            </w:r>
          </w:p>
        </w:tc>
        <w:tc>
          <w:tcPr>
            <w:tcW w:w="1333" w:type="pct"/>
            <w:shd w:val="clear" w:color="auto" w:fill="FFFFFF" w:themeFill="background1"/>
            <w:hideMark/>
          </w:tcPr>
          <w:p w14:paraId="3B634319" w14:textId="5BBFF362" w:rsidR="009757B3" w:rsidRPr="008A401A" w:rsidRDefault="009757B3" w:rsidP="006D67DD">
            <w:pPr>
              <w:spacing w:line="240" w:lineRule="auto"/>
              <w:jc w:val="center"/>
              <w:rPr>
                <w:rFonts w:eastAsia="等线" w:cs="Arial"/>
                <w:color w:val="000000"/>
                <w:szCs w:val="18"/>
              </w:rPr>
            </w:pPr>
            <w:r w:rsidRPr="00FD607A">
              <w:t>-</w:t>
            </w:r>
          </w:p>
        </w:tc>
      </w:tr>
      <w:tr w:rsidR="00D54B28" w:rsidRPr="008A401A" w14:paraId="6923EA38" w14:textId="77777777" w:rsidTr="00D54B28">
        <w:trPr>
          <w:trHeight w:val="20"/>
        </w:trPr>
        <w:tc>
          <w:tcPr>
            <w:tcW w:w="1194" w:type="pct"/>
            <w:shd w:val="clear" w:color="auto" w:fill="FFFFFF" w:themeFill="background1"/>
            <w:vAlign w:val="center"/>
            <w:hideMark/>
          </w:tcPr>
          <w:p w14:paraId="63D60525"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Volume change</w:t>
            </w:r>
          </w:p>
        </w:tc>
        <w:tc>
          <w:tcPr>
            <w:tcW w:w="341" w:type="pct"/>
            <w:shd w:val="clear" w:color="auto" w:fill="FFFFFF" w:themeFill="background1"/>
            <w:hideMark/>
          </w:tcPr>
          <w:p w14:paraId="24905275" w14:textId="18FB806E" w:rsidR="009757B3" w:rsidRPr="008A401A" w:rsidRDefault="009757B3" w:rsidP="006D67DD">
            <w:pPr>
              <w:spacing w:line="240" w:lineRule="auto"/>
              <w:jc w:val="center"/>
              <w:rPr>
                <w:rFonts w:eastAsia="等线" w:cs="Arial"/>
                <w:color w:val="000000"/>
                <w:szCs w:val="18"/>
              </w:rPr>
            </w:pPr>
            <w:r w:rsidRPr="00FD607A">
              <w:t>5</w:t>
            </w:r>
          </w:p>
        </w:tc>
        <w:tc>
          <w:tcPr>
            <w:tcW w:w="1791" w:type="pct"/>
            <w:shd w:val="clear" w:color="auto" w:fill="FFFFFF" w:themeFill="background1"/>
            <w:hideMark/>
          </w:tcPr>
          <w:p w14:paraId="4FB80933" w14:textId="17440F5C" w:rsidR="009757B3" w:rsidRPr="008A401A" w:rsidRDefault="009757B3" w:rsidP="006D67DD">
            <w:pPr>
              <w:spacing w:line="240" w:lineRule="auto"/>
              <w:jc w:val="center"/>
              <w:rPr>
                <w:rFonts w:eastAsia="等线" w:cs="Arial"/>
                <w:color w:val="000000"/>
                <w:szCs w:val="18"/>
              </w:rPr>
            </w:pPr>
            <w:r w:rsidRPr="00FD607A">
              <w:t>Limited electrolyte volume change</w:t>
            </w:r>
          </w:p>
        </w:tc>
        <w:tc>
          <w:tcPr>
            <w:tcW w:w="341" w:type="pct"/>
            <w:shd w:val="clear" w:color="auto" w:fill="FFFFFF" w:themeFill="background1"/>
            <w:hideMark/>
          </w:tcPr>
          <w:p w14:paraId="6245DA4B" w14:textId="171AD7D5" w:rsidR="009757B3" w:rsidRPr="008A401A" w:rsidRDefault="009757B3" w:rsidP="006D67DD">
            <w:pPr>
              <w:spacing w:line="240" w:lineRule="auto"/>
              <w:jc w:val="center"/>
              <w:rPr>
                <w:rFonts w:eastAsia="等线" w:cs="Arial"/>
                <w:color w:val="000000"/>
                <w:szCs w:val="18"/>
              </w:rPr>
            </w:pPr>
            <w:r w:rsidRPr="00FD607A">
              <w:t>2%</w:t>
            </w:r>
          </w:p>
        </w:tc>
        <w:tc>
          <w:tcPr>
            <w:tcW w:w="1333" w:type="pct"/>
            <w:shd w:val="clear" w:color="auto" w:fill="FFFFFF" w:themeFill="background1"/>
            <w:hideMark/>
          </w:tcPr>
          <w:p w14:paraId="2CD45740" w14:textId="799341FC" w:rsidR="009757B3" w:rsidRPr="008A401A" w:rsidRDefault="009757B3" w:rsidP="006D67DD">
            <w:pPr>
              <w:spacing w:line="240" w:lineRule="auto"/>
              <w:jc w:val="center"/>
              <w:rPr>
                <w:rFonts w:eastAsia="等线" w:cs="Arial"/>
                <w:color w:val="000000"/>
                <w:szCs w:val="18"/>
              </w:rPr>
            </w:pPr>
            <w:r w:rsidRPr="00FD607A">
              <w:t>Equipment corrosion</w:t>
            </w:r>
          </w:p>
        </w:tc>
      </w:tr>
      <w:tr w:rsidR="00D54B28" w:rsidRPr="008A401A" w14:paraId="4C78B2CA" w14:textId="77777777" w:rsidTr="00D54B28">
        <w:trPr>
          <w:trHeight w:val="20"/>
        </w:trPr>
        <w:tc>
          <w:tcPr>
            <w:tcW w:w="1194" w:type="pct"/>
            <w:shd w:val="clear" w:color="auto" w:fill="FFFFFF" w:themeFill="background1"/>
            <w:vAlign w:val="center"/>
            <w:hideMark/>
          </w:tcPr>
          <w:p w14:paraId="43E50F5A"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Solubility</w:t>
            </w:r>
          </w:p>
        </w:tc>
        <w:tc>
          <w:tcPr>
            <w:tcW w:w="341" w:type="pct"/>
            <w:shd w:val="clear" w:color="auto" w:fill="FFFFFF" w:themeFill="background1"/>
            <w:hideMark/>
          </w:tcPr>
          <w:p w14:paraId="458AD466" w14:textId="2D5E9792" w:rsidR="009757B3" w:rsidRPr="008A401A" w:rsidRDefault="009757B3" w:rsidP="006D67DD">
            <w:pPr>
              <w:spacing w:line="240" w:lineRule="auto"/>
              <w:jc w:val="center"/>
              <w:rPr>
                <w:rFonts w:eastAsia="等线" w:cs="Arial"/>
                <w:color w:val="000000"/>
                <w:szCs w:val="18"/>
              </w:rPr>
            </w:pPr>
            <w:r w:rsidRPr="00FD607A">
              <w:t>6</w:t>
            </w:r>
          </w:p>
        </w:tc>
        <w:tc>
          <w:tcPr>
            <w:tcW w:w="1791" w:type="pct"/>
            <w:shd w:val="clear" w:color="auto" w:fill="FFFFFF" w:themeFill="background1"/>
            <w:hideMark/>
          </w:tcPr>
          <w:p w14:paraId="7A032BB0" w14:textId="3B10D6F5" w:rsidR="009757B3" w:rsidRPr="008A401A" w:rsidRDefault="009757B3" w:rsidP="006D67DD">
            <w:pPr>
              <w:spacing w:line="240" w:lineRule="auto"/>
              <w:jc w:val="center"/>
              <w:rPr>
                <w:rFonts w:eastAsia="等线" w:cs="Arial"/>
                <w:color w:val="000000"/>
                <w:szCs w:val="18"/>
              </w:rPr>
            </w:pPr>
            <w:r w:rsidRPr="00FD607A">
              <w:t>High electrolyte solubility</w:t>
            </w:r>
          </w:p>
        </w:tc>
        <w:tc>
          <w:tcPr>
            <w:tcW w:w="341" w:type="pct"/>
            <w:shd w:val="clear" w:color="auto" w:fill="FFFFFF" w:themeFill="background1"/>
            <w:hideMark/>
          </w:tcPr>
          <w:p w14:paraId="66AFE896" w14:textId="4C5D8D53" w:rsidR="009757B3" w:rsidRPr="008A401A" w:rsidRDefault="009757B3" w:rsidP="006D67DD">
            <w:pPr>
              <w:spacing w:line="240" w:lineRule="auto"/>
              <w:jc w:val="center"/>
              <w:rPr>
                <w:rFonts w:eastAsia="等线" w:cs="Arial"/>
                <w:color w:val="000000"/>
                <w:szCs w:val="18"/>
              </w:rPr>
            </w:pPr>
            <w:r w:rsidRPr="00FD607A">
              <w:t>2%</w:t>
            </w:r>
          </w:p>
        </w:tc>
        <w:tc>
          <w:tcPr>
            <w:tcW w:w="1333" w:type="pct"/>
            <w:shd w:val="clear" w:color="auto" w:fill="FFFFFF" w:themeFill="background1"/>
            <w:hideMark/>
          </w:tcPr>
          <w:p w14:paraId="057AA0D5" w14:textId="3C039799" w:rsidR="009757B3" w:rsidRPr="008A401A" w:rsidRDefault="009757B3" w:rsidP="006D67DD">
            <w:pPr>
              <w:spacing w:line="240" w:lineRule="auto"/>
              <w:jc w:val="center"/>
              <w:rPr>
                <w:rFonts w:eastAsia="等线" w:cs="Arial"/>
                <w:color w:val="000000"/>
                <w:szCs w:val="18"/>
              </w:rPr>
            </w:pPr>
            <w:r w:rsidRPr="00FD607A">
              <w:t>-</w:t>
            </w:r>
          </w:p>
        </w:tc>
      </w:tr>
      <w:tr w:rsidR="00D54B28" w:rsidRPr="008A401A" w14:paraId="2E61A9C1" w14:textId="77777777" w:rsidTr="00D54B28">
        <w:trPr>
          <w:trHeight w:val="20"/>
        </w:trPr>
        <w:tc>
          <w:tcPr>
            <w:tcW w:w="1194" w:type="pct"/>
            <w:shd w:val="clear" w:color="auto" w:fill="FFFFFF" w:themeFill="background1"/>
            <w:vAlign w:val="center"/>
            <w:hideMark/>
          </w:tcPr>
          <w:p w14:paraId="57A67D6D"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Ability to precipitate</w:t>
            </w:r>
          </w:p>
        </w:tc>
        <w:tc>
          <w:tcPr>
            <w:tcW w:w="341" w:type="pct"/>
            <w:shd w:val="clear" w:color="auto" w:fill="FFFFFF" w:themeFill="background1"/>
            <w:hideMark/>
          </w:tcPr>
          <w:p w14:paraId="29269D3C" w14:textId="3371AC3D" w:rsidR="009757B3" w:rsidRPr="008A401A" w:rsidRDefault="009757B3" w:rsidP="006D67DD">
            <w:pPr>
              <w:spacing w:line="240" w:lineRule="auto"/>
              <w:jc w:val="center"/>
              <w:rPr>
                <w:rFonts w:eastAsia="等线" w:cs="Arial"/>
                <w:color w:val="000000"/>
                <w:szCs w:val="18"/>
              </w:rPr>
            </w:pPr>
            <w:r w:rsidRPr="00FD607A">
              <w:t>4</w:t>
            </w:r>
          </w:p>
        </w:tc>
        <w:tc>
          <w:tcPr>
            <w:tcW w:w="1791" w:type="pct"/>
            <w:shd w:val="clear" w:color="auto" w:fill="FFFFFF" w:themeFill="background1"/>
            <w:hideMark/>
          </w:tcPr>
          <w:p w14:paraId="496ACA15" w14:textId="566DCC8A" w:rsidR="009757B3" w:rsidRPr="008A401A" w:rsidRDefault="009757B3" w:rsidP="006D67DD">
            <w:pPr>
              <w:spacing w:line="240" w:lineRule="auto"/>
              <w:jc w:val="center"/>
              <w:rPr>
                <w:rFonts w:eastAsia="等线" w:cs="Arial"/>
                <w:color w:val="000000"/>
                <w:szCs w:val="18"/>
              </w:rPr>
            </w:pPr>
            <w:r w:rsidRPr="00FD607A">
              <w:t>Electrolyte precipitation risk</w:t>
            </w:r>
          </w:p>
        </w:tc>
        <w:tc>
          <w:tcPr>
            <w:tcW w:w="341" w:type="pct"/>
            <w:shd w:val="clear" w:color="auto" w:fill="FFFFFF" w:themeFill="background1"/>
            <w:hideMark/>
          </w:tcPr>
          <w:p w14:paraId="20D765D1" w14:textId="0FD99D87" w:rsidR="009757B3" w:rsidRPr="008A401A" w:rsidRDefault="009757B3" w:rsidP="006D67DD">
            <w:pPr>
              <w:spacing w:line="240" w:lineRule="auto"/>
              <w:jc w:val="center"/>
              <w:rPr>
                <w:rFonts w:eastAsia="等线" w:cs="Arial"/>
                <w:color w:val="000000"/>
                <w:szCs w:val="18"/>
              </w:rPr>
            </w:pPr>
            <w:r w:rsidRPr="00FD607A">
              <w:t>2%</w:t>
            </w:r>
          </w:p>
        </w:tc>
        <w:tc>
          <w:tcPr>
            <w:tcW w:w="1333" w:type="pct"/>
            <w:shd w:val="clear" w:color="auto" w:fill="FFFFFF" w:themeFill="background1"/>
            <w:hideMark/>
          </w:tcPr>
          <w:p w14:paraId="0269C2C5" w14:textId="1ADF5092" w:rsidR="009757B3" w:rsidRPr="008A401A" w:rsidRDefault="009757B3" w:rsidP="006D67DD">
            <w:pPr>
              <w:spacing w:line="240" w:lineRule="auto"/>
              <w:jc w:val="center"/>
              <w:rPr>
                <w:rFonts w:eastAsia="等线" w:cs="Arial"/>
                <w:color w:val="000000"/>
                <w:szCs w:val="18"/>
              </w:rPr>
            </w:pPr>
            <w:r w:rsidRPr="00FD607A">
              <w:t>Environmental risk</w:t>
            </w:r>
          </w:p>
        </w:tc>
      </w:tr>
      <w:tr w:rsidR="00D54B28" w:rsidRPr="008A401A" w14:paraId="0DBEBC20" w14:textId="77777777" w:rsidTr="00D54B28">
        <w:trPr>
          <w:trHeight w:val="20"/>
        </w:trPr>
        <w:tc>
          <w:tcPr>
            <w:tcW w:w="1194" w:type="pct"/>
            <w:shd w:val="clear" w:color="auto" w:fill="FFFFFF" w:themeFill="background1"/>
            <w:vAlign w:val="center"/>
            <w:hideMark/>
          </w:tcPr>
          <w:p w14:paraId="43D30C12"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Density difference</w:t>
            </w:r>
          </w:p>
        </w:tc>
        <w:tc>
          <w:tcPr>
            <w:tcW w:w="341" w:type="pct"/>
            <w:shd w:val="clear" w:color="auto" w:fill="FFFFFF" w:themeFill="background1"/>
            <w:hideMark/>
          </w:tcPr>
          <w:p w14:paraId="1282F1F9" w14:textId="4463BBB5" w:rsidR="009757B3" w:rsidRPr="008A401A" w:rsidRDefault="009757B3" w:rsidP="006D67DD">
            <w:pPr>
              <w:spacing w:line="240" w:lineRule="auto"/>
              <w:jc w:val="center"/>
              <w:rPr>
                <w:rFonts w:eastAsia="等线" w:cs="Arial"/>
                <w:color w:val="000000"/>
                <w:szCs w:val="18"/>
              </w:rPr>
            </w:pPr>
            <w:r w:rsidRPr="00FD607A">
              <w:t>4</w:t>
            </w:r>
          </w:p>
        </w:tc>
        <w:tc>
          <w:tcPr>
            <w:tcW w:w="1791" w:type="pct"/>
            <w:shd w:val="clear" w:color="auto" w:fill="FFFFFF" w:themeFill="background1"/>
            <w:hideMark/>
          </w:tcPr>
          <w:p w14:paraId="4489925B" w14:textId="3D3E8072" w:rsidR="009757B3" w:rsidRPr="008A401A" w:rsidRDefault="009757B3" w:rsidP="006D67DD">
            <w:pPr>
              <w:spacing w:line="240" w:lineRule="auto"/>
              <w:jc w:val="center"/>
              <w:rPr>
                <w:rFonts w:eastAsia="等线" w:cs="Arial"/>
                <w:color w:val="000000"/>
                <w:szCs w:val="18"/>
              </w:rPr>
            </w:pPr>
            <w:r w:rsidRPr="00FD607A">
              <w:t>Affects efficiency and consumption</w:t>
            </w:r>
          </w:p>
        </w:tc>
        <w:tc>
          <w:tcPr>
            <w:tcW w:w="341" w:type="pct"/>
            <w:shd w:val="clear" w:color="auto" w:fill="FFFFFF" w:themeFill="background1"/>
            <w:hideMark/>
          </w:tcPr>
          <w:p w14:paraId="6CC09009" w14:textId="22281519" w:rsidR="009757B3" w:rsidRPr="008A401A" w:rsidRDefault="009757B3" w:rsidP="006D67DD">
            <w:pPr>
              <w:spacing w:line="240" w:lineRule="auto"/>
              <w:jc w:val="center"/>
              <w:rPr>
                <w:rFonts w:eastAsia="等线" w:cs="Arial"/>
                <w:color w:val="000000"/>
                <w:szCs w:val="18"/>
              </w:rPr>
            </w:pPr>
            <w:r w:rsidRPr="00FD607A">
              <w:t>2%</w:t>
            </w:r>
          </w:p>
        </w:tc>
        <w:tc>
          <w:tcPr>
            <w:tcW w:w="1333" w:type="pct"/>
            <w:shd w:val="clear" w:color="auto" w:fill="FFFFFF" w:themeFill="background1"/>
            <w:hideMark/>
          </w:tcPr>
          <w:p w14:paraId="3262A773" w14:textId="76BE14C1" w:rsidR="009757B3" w:rsidRPr="008A401A" w:rsidRDefault="009757B3" w:rsidP="006D67DD">
            <w:pPr>
              <w:spacing w:line="240" w:lineRule="auto"/>
              <w:jc w:val="center"/>
              <w:rPr>
                <w:rFonts w:eastAsia="等线" w:cs="Arial"/>
                <w:color w:val="000000"/>
                <w:szCs w:val="18"/>
              </w:rPr>
            </w:pPr>
            <w:r w:rsidRPr="00FD607A">
              <w:t>-</w:t>
            </w:r>
          </w:p>
        </w:tc>
      </w:tr>
      <w:tr w:rsidR="00D54B28" w:rsidRPr="008A401A" w14:paraId="5D5A34FB" w14:textId="77777777" w:rsidTr="00D54B28">
        <w:trPr>
          <w:trHeight w:val="20"/>
        </w:trPr>
        <w:tc>
          <w:tcPr>
            <w:tcW w:w="1194" w:type="pct"/>
            <w:shd w:val="clear" w:color="auto" w:fill="FFFFFF" w:themeFill="background1"/>
            <w:vAlign w:val="center"/>
            <w:hideMark/>
          </w:tcPr>
          <w:p w14:paraId="682F9D7D"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Viscosity</w:t>
            </w:r>
          </w:p>
        </w:tc>
        <w:tc>
          <w:tcPr>
            <w:tcW w:w="341" w:type="pct"/>
            <w:shd w:val="clear" w:color="auto" w:fill="FFFFFF" w:themeFill="background1"/>
            <w:hideMark/>
          </w:tcPr>
          <w:p w14:paraId="05B9A286" w14:textId="2C9A198E" w:rsidR="009757B3" w:rsidRPr="008A401A" w:rsidRDefault="009757B3" w:rsidP="006D67DD">
            <w:pPr>
              <w:spacing w:line="240" w:lineRule="auto"/>
              <w:jc w:val="center"/>
              <w:rPr>
                <w:rFonts w:eastAsia="等线" w:cs="Arial"/>
                <w:color w:val="000000"/>
                <w:szCs w:val="18"/>
              </w:rPr>
            </w:pPr>
            <w:r w:rsidRPr="00FD607A">
              <w:t>3</w:t>
            </w:r>
          </w:p>
        </w:tc>
        <w:tc>
          <w:tcPr>
            <w:tcW w:w="1791" w:type="pct"/>
            <w:shd w:val="clear" w:color="auto" w:fill="FFFFFF" w:themeFill="background1"/>
            <w:hideMark/>
          </w:tcPr>
          <w:p w14:paraId="3D9CA78D" w14:textId="735DF8FF" w:rsidR="009757B3" w:rsidRPr="008A401A" w:rsidRDefault="009757B3" w:rsidP="006D67DD">
            <w:pPr>
              <w:spacing w:line="240" w:lineRule="auto"/>
              <w:jc w:val="center"/>
              <w:rPr>
                <w:rFonts w:eastAsia="等线" w:cs="Arial"/>
                <w:color w:val="000000"/>
                <w:szCs w:val="18"/>
              </w:rPr>
            </w:pPr>
            <w:r w:rsidRPr="00FD607A">
              <w:t>Viscosity changes</w:t>
            </w:r>
          </w:p>
        </w:tc>
        <w:tc>
          <w:tcPr>
            <w:tcW w:w="341" w:type="pct"/>
            <w:shd w:val="clear" w:color="auto" w:fill="FFFFFF" w:themeFill="background1"/>
            <w:hideMark/>
          </w:tcPr>
          <w:p w14:paraId="3DD4A0E4" w14:textId="136C22B3" w:rsidR="009757B3" w:rsidRPr="008A401A" w:rsidRDefault="009757B3" w:rsidP="006D67DD">
            <w:pPr>
              <w:spacing w:line="240" w:lineRule="auto"/>
              <w:jc w:val="center"/>
              <w:rPr>
                <w:rFonts w:eastAsia="等线" w:cs="Arial"/>
                <w:color w:val="000000"/>
                <w:szCs w:val="18"/>
              </w:rPr>
            </w:pPr>
            <w:r w:rsidRPr="00FD607A">
              <w:t>2%</w:t>
            </w:r>
          </w:p>
        </w:tc>
        <w:tc>
          <w:tcPr>
            <w:tcW w:w="1333" w:type="pct"/>
            <w:shd w:val="clear" w:color="auto" w:fill="FFFFFF" w:themeFill="background1"/>
            <w:hideMark/>
          </w:tcPr>
          <w:p w14:paraId="212D2E69" w14:textId="4C742319" w:rsidR="009757B3" w:rsidRPr="008A401A" w:rsidRDefault="009757B3" w:rsidP="006D67DD">
            <w:pPr>
              <w:spacing w:line="240" w:lineRule="auto"/>
              <w:jc w:val="center"/>
              <w:rPr>
                <w:rFonts w:eastAsia="等线" w:cs="Arial"/>
                <w:color w:val="000000"/>
                <w:szCs w:val="18"/>
              </w:rPr>
            </w:pPr>
            <w:r w:rsidRPr="00FD607A">
              <w:t>Minimal safety impact</w:t>
            </w:r>
          </w:p>
        </w:tc>
      </w:tr>
      <w:tr w:rsidR="00D54B28" w:rsidRPr="008A401A" w14:paraId="35FECDB0" w14:textId="77777777" w:rsidTr="00D54B28">
        <w:trPr>
          <w:trHeight w:val="20"/>
        </w:trPr>
        <w:tc>
          <w:tcPr>
            <w:tcW w:w="1194" w:type="pct"/>
            <w:shd w:val="clear" w:color="auto" w:fill="FFFFFF" w:themeFill="background1"/>
            <w:vAlign w:val="center"/>
            <w:hideMark/>
          </w:tcPr>
          <w:p w14:paraId="2A66454D"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Relative density</w:t>
            </w:r>
          </w:p>
        </w:tc>
        <w:tc>
          <w:tcPr>
            <w:tcW w:w="341" w:type="pct"/>
            <w:shd w:val="clear" w:color="auto" w:fill="FFFFFF" w:themeFill="background1"/>
            <w:hideMark/>
          </w:tcPr>
          <w:p w14:paraId="307D6946" w14:textId="4BFE3DAD" w:rsidR="009757B3" w:rsidRPr="008A401A" w:rsidRDefault="009757B3" w:rsidP="006D67DD">
            <w:pPr>
              <w:spacing w:line="240" w:lineRule="auto"/>
              <w:jc w:val="center"/>
              <w:rPr>
                <w:rFonts w:eastAsia="等线" w:cs="Arial"/>
                <w:color w:val="000000"/>
                <w:szCs w:val="18"/>
              </w:rPr>
            </w:pPr>
            <w:r w:rsidRPr="00FD607A">
              <w:t>3</w:t>
            </w:r>
          </w:p>
        </w:tc>
        <w:tc>
          <w:tcPr>
            <w:tcW w:w="1791" w:type="pct"/>
            <w:shd w:val="clear" w:color="auto" w:fill="FFFFFF" w:themeFill="background1"/>
            <w:hideMark/>
          </w:tcPr>
          <w:p w14:paraId="563C7526" w14:textId="1D0B24CC" w:rsidR="009757B3" w:rsidRPr="008A401A" w:rsidRDefault="009757B3" w:rsidP="006D67DD">
            <w:pPr>
              <w:spacing w:line="240" w:lineRule="auto"/>
              <w:jc w:val="center"/>
              <w:rPr>
                <w:rFonts w:eastAsia="等线" w:cs="Arial"/>
                <w:color w:val="000000"/>
                <w:szCs w:val="18"/>
              </w:rPr>
            </w:pPr>
            <w:r w:rsidRPr="00FD607A">
              <w:t>Slight density difference</w:t>
            </w:r>
          </w:p>
        </w:tc>
        <w:tc>
          <w:tcPr>
            <w:tcW w:w="341" w:type="pct"/>
            <w:shd w:val="clear" w:color="auto" w:fill="FFFFFF" w:themeFill="background1"/>
            <w:hideMark/>
          </w:tcPr>
          <w:p w14:paraId="68672106" w14:textId="4CA87BEB" w:rsidR="009757B3" w:rsidRPr="008A401A" w:rsidRDefault="009757B3" w:rsidP="006D67DD">
            <w:pPr>
              <w:spacing w:line="240" w:lineRule="auto"/>
              <w:jc w:val="center"/>
              <w:rPr>
                <w:rFonts w:eastAsia="等线" w:cs="Arial"/>
                <w:color w:val="000000"/>
                <w:szCs w:val="18"/>
              </w:rPr>
            </w:pPr>
            <w:r w:rsidRPr="00FD607A">
              <w:t>2%</w:t>
            </w:r>
          </w:p>
        </w:tc>
        <w:tc>
          <w:tcPr>
            <w:tcW w:w="1333" w:type="pct"/>
            <w:shd w:val="clear" w:color="auto" w:fill="FFFFFF" w:themeFill="background1"/>
            <w:hideMark/>
          </w:tcPr>
          <w:p w14:paraId="576AC46F" w14:textId="767365EC" w:rsidR="009757B3" w:rsidRPr="008A401A" w:rsidRDefault="009757B3" w:rsidP="006D67DD">
            <w:pPr>
              <w:spacing w:line="240" w:lineRule="auto"/>
              <w:jc w:val="center"/>
              <w:rPr>
                <w:rFonts w:eastAsia="等线" w:cs="Arial"/>
                <w:color w:val="000000"/>
                <w:szCs w:val="18"/>
              </w:rPr>
            </w:pPr>
            <w:r w:rsidRPr="00FD607A">
              <w:t>Minor safety impact</w:t>
            </w:r>
          </w:p>
        </w:tc>
      </w:tr>
      <w:tr w:rsidR="00D54B28" w:rsidRPr="008A401A" w14:paraId="3551BA8E" w14:textId="77777777" w:rsidTr="00D54B28">
        <w:trPr>
          <w:trHeight w:val="20"/>
        </w:trPr>
        <w:tc>
          <w:tcPr>
            <w:tcW w:w="1194" w:type="pct"/>
            <w:shd w:val="clear" w:color="auto" w:fill="FFFFFF" w:themeFill="background1"/>
            <w:vAlign w:val="center"/>
            <w:hideMark/>
          </w:tcPr>
          <w:p w14:paraId="3C90D8C6"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Molecular weight</w:t>
            </w:r>
          </w:p>
        </w:tc>
        <w:tc>
          <w:tcPr>
            <w:tcW w:w="341" w:type="pct"/>
            <w:shd w:val="clear" w:color="auto" w:fill="FFFFFF" w:themeFill="background1"/>
            <w:hideMark/>
          </w:tcPr>
          <w:p w14:paraId="1BD8EC50" w14:textId="37DB5201" w:rsidR="009757B3" w:rsidRPr="008A401A" w:rsidRDefault="009757B3" w:rsidP="006D67DD">
            <w:pPr>
              <w:spacing w:line="240" w:lineRule="auto"/>
              <w:jc w:val="center"/>
              <w:rPr>
                <w:rFonts w:eastAsia="等线" w:cs="Arial"/>
                <w:color w:val="000000"/>
                <w:szCs w:val="18"/>
              </w:rPr>
            </w:pPr>
            <w:r w:rsidRPr="00FD607A">
              <w:t>2</w:t>
            </w:r>
          </w:p>
        </w:tc>
        <w:tc>
          <w:tcPr>
            <w:tcW w:w="1791" w:type="pct"/>
            <w:shd w:val="clear" w:color="auto" w:fill="FFFFFF" w:themeFill="background1"/>
            <w:hideMark/>
          </w:tcPr>
          <w:p w14:paraId="6BEE7E5E" w14:textId="4E40C474" w:rsidR="009757B3" w:rsidRPr="008A401A" w:rsidRDefault="009757B3" w:rsidP="006D67DD">
            <w:pPr>
              <w:spacing w:line="240" w:lineRule="auto"/>
              <w:jc w:val="center"/>
              <w:rPr>
                <w:rFonts w:eastAsia="等线" w:cs="Arial"/>
                <w:color w:val="000000"/>
                <w:szCs w:val="18"/>
              </w:rPr>
            </w:pPr>
            <w:r w:rsidRPr="00FD607A">
              <w:t>Small molecular weight impact</w:t>
            </w:r>
          </w:p>
        </w:tc>
        <w:tc>
          <w:tcPr>
            <w:tcW w:w="341" w:type="pct"/>
            <w:shd w:val="clear" w:color="auto" w:fill="FFFFFF" w:themeFill="background1"/>
            <w:hideMark/>
          </w:tcPr>
          <w:p w14:paraId="3772DD07" w14:textId="7229E313" w:rsidR="009757B3" w:rsidRPr="008A401A" w:rsidRDefault="009757B3" w:rsidP="006D67DD">
            <w:pPr>
              <w:spacing w:line="240" w:lineRule="auto"/>
              <w:jc w:val="center"/>
              <w:rPr>
                <w:rFonts w:eastAsia="等线" w:cs="Arial"/>
                <w:color w:val="000000"/>
                <w:szCs w:val="18"/>
              </w:rPr>
            </w:pPr>
            <w:r w:rsidRPr="00FD607A">
              <w:t>2%</w:t>
            </w:r>
          </w:p>
        </w:tc>
        <w:tc>
          <w:tcPr>
            <w:tcW w:w="1333" w:type="pct"/>
            <w:shd w:val="clear" w:color="auto" w:fill="FFFFFF" w:themeFill="background1"/>
            <w:hideMark/>
          </w:tcPr>
          <w:p w14:paraId="4C961934" w14:textId="333013D6" w:rsidR="009757B3" w:rsidRPr="008A401A" w:rsidRDefault="009757B3" w:rsidP="006D67DD">
            <w:pPr>
              <w:spacing w:line="240" w:lineRule="auto"/>
              <w:jc w:val="center"/>
              <w:rPr>
                <w:rFonts w:eastAsia="等线" w:cs="Arial"/>
                <w:color w:val="000000"/>
                <w:szCs w:val="18"/>
              </w:rPr>
            </w:pPr>
            <w:r w:rsidRPr="00FD607A">
              <w:t>Operational impact</w:t>
            </w:r>
          </w:p>
        </w:tc>
      </w:tr>
      <w:tr w:rsidR="00D54B28" w:rsidRPr="008A401A" w14:paraId="7F739CD7" w14:textId="77777777" w:rsidTr="00D54B28">
        <w:trPr>
          <w:trHeight w:val="20"/>
        </w:trPr>
        <w:tc>
          <w:tcPr>
            <w:tcW w:w="1194" w:type="pct"/>
            <w:tcBorders>
              <w:bottom w:val="single" w:sz="4" w:space="0" w:color="006600"/>
            </w:tcBorders>
            <w:shd w:val="clear" w:color="auto" w:fill="FFFFFF" w:themeFill="background1"/>
            <w:vAlign w:val="center"/>
            <w:hideMark/>
          </w:tcPr>
          <w:p w14:paraId="7FA9FC7E"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Hazardous substances</w:t>
            </w:r>
          </w:p>
        </w:tc>
        <w:tc>
          <w:tcPr>
            <w:tcW w:w="341" w:type="pct"/>
            <w:tcBorders>
              <w:bottom w:val="single" w:sz="4" w:space="0" w:color="006600"/>
            </w:tcBorders>
            <w:shd w:val="clear" w:color="auto" w:fill="FFFFFF" w:themeFill="background1"/>
            <w:hideMark/>
          </w:tcPr>
          <w:p w14:paraId="3748667C" w14:textId="00EB9201" w:rsidR="009757B3" w:rsidRPr="008A401A" w:rsidRDefault="009757B3" w:rsidP="006D67DD">
            <w:pPr>
              <w:spacing w:line="240" w:lineRule="auto"/>
              <w:jc w:val="center"/>
              <w:rPr>
                <w:rFonts w:eastAsia="等线" w:cs="Arial"/>
                <w:color w:val="000000"/>
                <w:szCs w:val="18"/>
              </w:rPr>
            </w:pPr>
            <w:r w:rsidRPr="00FD607A">
              <w:t>6</w:t>
            </w:r>
          </w:p>
        </w:tc>
        <w:tc>
          <w:tcPr>
            <w:tcW w:w="1791" w:type="pct"/>
            <w:tcBorders>
              <w:bottom w:val="single" w:sz="4" w:space="0" w:color="006600"/>
            </w:tcBorders>
            <w:shd w:val="clear" w:color="auto" w:fill="FFFFFF" w:themeFill="background1"/>
            <w:hideMark/>
          </w:tcPr>
          <w:p w14:paraId="6F906E7F" w14:textId="67BC6D10" w:rsidR="009757B3" w:rsidRPr="008A401A" w:rsidRDefault="009757B3" w:rsidP="006D67DD">
            <w:pPr>
              <w:spacing w:line="240" w:lineRule="auto"/>
              <w:jc w:val="center"/>
              <w:rPr>
                <w:rFonts w:eastAsia="等线" w:cs="Arial"/>
                <w:color w:val="000000"/>
                <w:szCs w:val="18"/>
              </w:rPr>
            </w:pPr>
            <w:r w:rsidRPr="00FD607A">
              <w:t>Harmful electrolyte components</w:t>
            </w:r>
          </w:p>
        </w:tc>
        <w:tc>
          <w:tcPr>
            <w:tcW w:w="341" w:type="pct"/>
            <w:tcBorders>
              <w:bottom w:val="single" w:sz="4" w:space="0" w:color="006600"/>
            </w:tcBorders>
            <w:shd w:val="clear" w:color="auto" w:fill="FFFFFF" w:themeFill="background1"/>
            <w:hideMark/>
          </w:tcPr>
          <w:p w14:paraId="12EBFAF8" w14:textId="1848AFC1" w:rsidR="009757B3" w:rsidRPr="008A401A" w:rsidRDefault="009757B3" w:rsidP="006D67DD">
            <w:pPr>
              <w:spacing w:line="240" w:lineRule="auto"/>
              <w:jc w:val="center"/>
              <w:rPr>
                <w:rFonts w:eastAsia="等线" w:cs="Arial"/>
                <w:color w:val="000000"/>
                <w:szCs w:val="18"/>
              </w:rPr>
            </w:pPr>
            <w:r w:rsidRPr="00FD607A">
              <w:t>3%</w:t>
            </w:r>
          </w:p>
        </w:tc>
        <w:tc>
          <w:tcPr>
            <w:tcW w:w="1333" w:type="pct"/>
            <w:tcBorders>
              <w:bottom w:val="single" w:sz="4" w:space="0" w:color="006600"/>
            </w:tcBorders>
            <w:shd w:val="clear" w:color="auto" w:fill="FFFFFF" w:themeFill="background1"/>
            <w:hideMark/>
          </w:tcPr>
          <w:p w14:paraId="0207C740" w14:textId="71A7E1F5" w:rsidR="009757B3" w:rsidRPr="008A401A" w:rsidRDefault="009757B3" w:rsidP="006D67DD">
            <w:pPr>
              <w:spacing w:line="240" w:lineRule="auto"/>
              <w:jc w:val="center"/>
              <w:rPr>
                <w:rFonts w:eastAsia="等线" w:cs="Arial"/>
                <w:color w:val="000000"/>
                <w:szCs w:val="18"/>
              </w:rPr>
            </w:pPr>
            <w:r w:rsidRPr="00FD607A">
              <w:t>Recycling concerns</w:t>
            </w:r>
          </w:p>
        </w:tc>
      </w:tr>
      <w:tr w:rsidR="009757B3" w:rsidRPr="008A401A" w14:paraId="6C576B35" w14:textId="77777777" w:rsidTr="003F2E4A">
        <w:trPr>
          <w:trHeight w:val="20"/>
        </w:trPr>
        <w:tc>
          <w:tcPr>
            <w:tcW w:w="5000" w:type="pct"/>
            <w:gridSpan w:val="5"/>
            <w:tcBorders>
              <w:top w:val="single" w:sz="4" w:space="0" w:color="006600"/>
              <w:bottom w:val="single" w:sz="4" w:space="0" w:color="006600"/>
            </w:tcBorders>
            <w:shd w:val="clear" w:color="auto" w:fill="FFFFFF" w:themeFill="background1"/>
            <w:vAlign w:val="center"/>
          </w:tcPr>
          <w:p w14:paraId="1D15E74E" w14:textId="5F6DB867" w:rsidR="009757B3" w:rsidRPr="00FD607A" w:rsidRDefault="009757B3" w:rsidP="006D67DD">
            <w:pPr>
              <w:spacing w:line="240" w:lineRule="auto"/>
              <w:jc w:val="center"/>
            </w:pPr>
            <w:r w:rsidRPr="008A401A">
              <w:rPr>
                <w:rFonts w:eastAsia="等线" w:cs="Arial"/>
                <w:color w:val="000000"/>
                <w:szCs w:val="18"/>
              </w:rPr>
              <w:t>Process</w:t>
            </w:r>
          </w:p>
        </w:tc>
      </w:tr>
      <w:tr w:rsidR="00D54B28" w:rsidRPr="008A401A" w14:paraId="12B560B1" w14:textId="77777777" w:rsidTr="00D54B28">
        <w:trPr>
          <w:trHeight w:val="20"/>
        </w:trPr>
        <w:tc>
          <w:tcPr>
            <w:tcW w:w="1194" w:type="pct"/>
            <w:tcBorders>
              <w:top w:val="single" w:sz="4" w:space="0" w:color="006600"/>
            </w:tcBorders>
            <w:shd w:val="clear" w:color="auto" w:fill="FFFFFF" w:themeFill="background1"/>
            <w:vAlign w:val="center"/>
            <w:hideMark/>
          </w:tcPr>
          <w:p w14:paraId="0106D088"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Temperature</w:t>
            </w:r>
          </w:p>
        </w:tc>
        <w:tc>
          <w:tcPr>
            <w:tcW w:w="341" w:type="pct"/>
            <w:tcBorders>
              <w:top w:val="single" w:sz="4" w:space="0" w:color="006600"/>
            </w:tcBorders>
            <w:shd w:val="clear" w:color="auto" w:fill="FFFFFF" w:themeFill="background1"/>
            <w:hideMark/>
          </w:tcPr>
          <w:p w14:paraId="7D7AB3CA" w14:textId="675B081B" w:rsidR="009757B3" w:rsidRPr="008A401A" w:rsidRDefault="009757B3" w:rsidP="006D67DD">
            <w:pPr>
              <w:spacing w:line="240" w:lineRule="auto"/>
              <w:jc w:val="center"/>
              <w:rPr>
                <w:rFonts w:eastAsia="等线" w:cs="Arial"/>
                <w:color w:val="000000"/>
                <w:szCs w:val="18"/>
              </w:rPr>
            </w:pPr>
            <w:r w:rsidRPr="00FD607A">
              <w:t>7</w:t>
            </w:r>
          </w:p>
        </w:tc>
        <w:tc>
          <w:tcPr>
            <w:tcW w:w="1791" w:type="pct"/>
            <w:tcBorders>
              <w:top w:val="single" w:sz="4" w:space="0" w:color="006600"/>
            </w:tcBorders>
            <w:shd w:val="clear" w:color="auto" w:fill="FFFFFF" w:themeFill="background1"/>
            <w:hideMark/>
          </w:tcPr>
          <w:p w14:paraId="67504A09" w14:textId="49821E9E" w:rsidR="009757B3" w:rsidRPr="008A401A" w:rsidRDefault="009757B3" w:rsidP="006D67DD">
            <w:pPr>
              <w:spacing w:line="240" w:lineRule="auto"/>
              <w:jc w:val="center"/>
              <w:rPr>
                <w:rFonts w:eastAsia="等线" w:cs="Arial"/>
                <w:color w:val="000000"/>
                <w:szCs w:val="18"/>
              </w:rPr>
            </w:pPr>
            <w:r w:rsidRPr="00FD607A">
              <w:t>High-temp operational requirement</w:t>
            </w:r>
          </w:p>
        </w:tc>
        <w:tc>
          <w:tcPr>
            <w:tcW w:w="341" w:type="pct"/>
            <w:tcBorders>
              <w:top w:val="single" w:sz="4" w:space="0" w:color="006600"/>
            </w:tcBorders>
            <w:shd w:val="clear" w:color="auto" w:fill="FFFFFF" w:themeFill="background1"/>
            <w:hideMark/>
          </w:tcPr>
          <w:p w14:paraId="0E35382E" w14:textId="0D866565" w:rsidR="009757B3" w:rsidRPr="008A401A" w:rsidRDefault="009757B3" w:rsidP="006D67DD">
            <w:pPr>
              <w:spacing w:line="240" w:lineRule="auto"/>
              <w:jc w:val="center"/>
              <w:rPr>
                <w:rFonts w:eastAsia="等线" w:cs="Arial"/>
                <w:color w:val="000000"/>
                <w:szCs w:val="18"/>
              </w:rPr>
            </w:pPr>
            <w:r w:rsidRPr="00FD607A">
              <w:t>4%</w:t>
            </w:r>
          </w:p>
        </w:tc>
        <w:tc>
          <w:tcPr>
            <w:tcW w:w="1333" w:type="pct"/>
            <w:tcBorders>
              <w:top w:val="single" w:sz="4" w:space="0" w:color="006600"/>
            </w:tcBorders>
            <w:shd w:val="clear" w:color="auto" w:fill="FFFFFF" w:themeFill="background1"/>
            <w:hideMark/>
          </w:tcPr>
          <w:p w14:paraId="2AB8E852" w14:textId="48E1E498" w:rsidR="009757B3" w:rsidRPr="008A401A" w:rsidRDefault="009757B3" w:rsidP="006D67DD">
            <w:pPr>
              <w:spacing w:line="240" w:lineRule="auto"/>
              <w:jc w:val="center"/>
              <w:rPr>
                <w:rFonts w:eastAsia="等线" w:cs="Arial"/>
                <w:color w:val="000000"/>
                <w:szCs w:val="18"/>
              </w:rPr>
            </w:pPr>
            <w:r w:rsidRPr="00FD607A">
              <w:t>Minor separation impact</w:t>
            </w:r>
          </w:p>
        </w:tc>
      </w:tr>
      <w:tr w:rsidR="00D54B28" w:rsidRPr="008A401A" w14:paraId="299811D7" w14:textId="77777777" w:rsidTr="00D54B28">
        <w:trPr>
          <w:trHeight w:val="20"/>
        </w:trPr>
        <w:tc>
          <w:tcPr>
            <w:tcW w:w="1194" w:type="pct"/>
            <w:shd w:val="clear" w:color="auto" w:fill="FFFFFF" w:themeFill="background1"/>
            <w:vAlign w:val="center"/>
            <w:hideMark/>
          </w:tcPr>
          <w:p w14:paraId="04B28740"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Pressure</w:t>
            </w:r>
          </w:p>
        </w:tc>
        <w:tc>
          <w:tcPr>
            <w:tcW w:w="341" w:type="pct"/>
            <w:shd w:val="clear" w:color="auto" w:fill="FFFFFF" w:themeFill="background1"/>
            <w:hideMark/>
          </w:tcPr>
          <w:p w14:paraId="4FFB6024" w14:textId="5B34D684" w:rsidR="009757B3" w:rsidRPr="008A401A" w:rsidRDefault="009757B3" w:rsidP="006D67DD">
            <w:pPr>
              <w:spacing w:line="240" w:lineRule="auto"/>
              <w:jc w:val="center"/>
              <w:rPr>
                <w:rFonts w:eastAsia="等线" w:cs="Arial"/>
                <w:color w:val="000000"/>
                <w:szCs w:val="18"/>
              </w:rPr>
            </w:pPr>
            <w:r w:rsidRPr="00FD607A">
              <w:t>8</w:t>
            </w:r>
          </w:p>
        </w:tc>
        <w:tc>
          <w:tcPr>
            <w:tcW w:w="1791" w:type="pct"/>
            <w:shd w:val="clear" w:color="auto" w:fill="FFFFFF" w:themeFill="background1"/>
            <w:hideMark/>
          </w:tcPr>
          <w:p w14:paraId="79A42043" w14:textId="1A149600" w:rsidR="009757B3" w:rsidRPr="008A401A" w:rsidRDefault="009757B3" w:rsidP="006D67DD">
            <w:pPr>
              <w:spacing w:line="240" w:lineRule="auto"/>
              <w:jc w:val="center"/>
              <w:rPr>
                <w:rFonts w:eastAsia="等线" w:cs="Arial"/>
                <w:color w:val="000000"/>
                <w:szCs w:val="18"/>
              </w:rPr>
            </w:pPr>
            <w:r w:rsidRPr="00FD607A">
              <w:t>High-pressure operation</w:t>
            </w:r>
          </w:p>
        </w:tc>
        <w:tc>
          <w:tcPr>
            <w:tcW w:w="341" w:type="pct"/>
            <w:shd w:val="clear" w:color="auto" w:fill="FFFFFF" w:themeFill="background1"/>
            <w:hideMark/>
          </w:tcPr>
          <w:p w14:paraId="2876ACB8" w14:textId="6C8B7512" w:rsidR="009757B3" w:rsidRPr="008A401A" w:rsidRDefault="009757B3" w:rsidP="006D67DD">
            <w:pPr>
              <w:spacing w:line="240" w:lineRule="auto"/>
              <w:jc w:val="center"/>
              <w:rPr>
                <w:rFonts w:eastAsia="等线" w:cs="Arial"/>
                <w:color w:val="000000"/>
                <w:szCs w:val="18"/>
              </w:rPr>
            </w:pPr>
            <w:r w:rsidRPr="00FD607A">
              <w:t>4%</w:t>
            </w:r>
          </w:p>
        </w:tc>
        <w:tc>
          <w:tcPr>
            <w:tcW w:w="1333" w:type="pct"/>
            <w:shd w:val="clear" w:color="auto" w:fill="FFFFFF" w:themeFill="background1"/>
            <w:hideMark/>
          </w:tcPr>
          <w:p w14:paraId="6BCCC46A" w14:textId="3B6B7154" w:rsidR="009757B3" w:rsidRPr="008A401A" w:rsidRDefault="009757B3" w:rsidP="006D67DD">
            <w:pPr>
              <w:spacing w:line="240" w:lineRule="auto"/>
              <w:jc w:val="center"/>
              <w:rPr>
                <w:rFonts w:eastAsia="等线" w:cs="Arial"/>
                <w:color w:val="000000"/>
                <w:szCs w:val="18"/>
              </w:rPr>
            </w:pPr>
            <w:r w:rsidRPr="00FD607A">
              <w:t>Minor fluidity impact</w:t>
            </w:r>
          </w:p>
        </w:tc>
      </w:tr>
      <w:tr w:rsidR="00D54B28" w:rsidRPr="008A401A" w14:paraId="1A9ACCA5" w14:textId="77777777" w:rsidTr="00D54B28">
        <w:trPr>
          <w:trHeight w:val="20"/>
        </w:trPr>
        <w:tc>
          <w:tcPr>
            <w:tcW w:w="1194" w:type="pct"/>
            <w:shd w:val="clear" w:color="auto" w:fill="FFFFFF" w:themeFill="background1"/>
            <w:vAlign w:val="center"/>
            <w:hideMark/>
          </w:tcPr>
          <w:p w14:paraId="46F19C9F"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Production</w:t>
            </w:r>
          </w:p>
        </w:tc>
        <w:tc>
          <w:tcPr>
            <w:tcW w:w="341" w:type="pct"/>
            <w:shd w:val="clear" w:color="auto" w:fill="FFFFFF" w:themeFill="background1"/>
            <w:hideMark/>
          </w:tcPr>
          <w:p w14:paraId="3E1253C2" w14:textId="7F31A6B9" w:rsidR="009757B3" w:rsidRPr="008A401A" w:rsidRDefault="009757B3" w:rsidP="006D67DD">
            <w:pPr>
              <w:spacing w:line="240" w:lineRule="auto"/>
              <w:jc w:val="center"/>
              <w:rPr>
                <w:rFonts w:eastAsia="等线" w:cs="Arial"/>
                <w:color w:val="000000"/>
                <w:szCs w:val="18"/>
              </w:rPr>
            </w:pPr>
            <w:r w:rsidRPr="00FD607A">
              <w:t>9</w:t>
            </w:r>
          </w:p>
        </w:tc>
        <w:tc>
          <w:tcPr>
            <w:tcW w:w="1791" w:type="pct"/>
            <w:shd w:val="clear" w:color="auto" w:fill="FFFFFF" w:themeFill="background1"/>
            <w:hideMark/>
          </w:tcPr>
          <w:p w14:paraId="602404B4" w14:textId="64237619" w:rsidR="009757B3" w:rsidRPr="008A401A" w:rsidRDefault="009757B3" w:rsidP="006D67DD">
            <w:pPr>
              <w:spacing w:line="240" w:lineRule="auto"/>
              <w:jc w:val="center"/>
              <w:rPr>
                <w:rFonts w:eastAsia="等线" w:cs="Arial"/>
                <w:color w:val="000000"/>
                <w:szCs w:val="18"/>
              </w:rPr>
            </w:pPr>
            <w:r w:rsidRPr="00FD607A">
              <w:t>High hydrogen production rate</w:t>
            </w:r>
          </w:p>
        </w:tc>
        <w:tc>
          <w:tcPr>
            <w:tcW w:w="341" w:type="pct"/>
            <w:shd w:val="clear" w:color="auto" w:fill="FFFFFF" w:themeFill="background1"/>
            <w:hideMark/>
          </w:tcPr>
          <w:p w14:paraId="60D55551" w14:textId="42F2FCE9" w:rsidR="009757B3" w:rsidRPr="008A401A" w:rsidRDefault="009757B3" w:rsidP="006D67DD">
            <w:pPr>
              <w:spacing w:line="240" w:lineRule="auto"/>
              <w:jc w:val="center"/>
              <w:rPr>
                <w:rFonts w:eastAsia="等线" w:cs="Arial"/>
                <w:color w:val="000000"/>
                <w:szCs w:val="18"/>
              </w:rPr>
            </w:pPr>
            <w:r w:rsidRPr="00FD607A">
              <w:t>6%</w:t>
            </w:r>
          </w:p>
        </w:tc>
        <w:tc>
          <w:tcPr>
            <w:tcW w:w="1333" w:type="pct"/>
            <w:shd w:val="clear" w:color="auto" w:fill="FFFFFF" w:themeFill="background1"/>
            <w:hideMark/>
          </w:tcPr>
          <w:p w14:paraId="7336DBCA" w14:textId="09B36A40" w:rsidR="009757B3" w:rsidRPr="008A401A" w:rsidRDefault="009757B3" w:rsidP="006D67DD">
            <w:pPr>
              <w:spacing w:line="240" w:lineRule="auto"/>
              <w:jc w:val="center"/>
              <w:rPr>
                <w:rFonts w:eastAsia="等线" w:cs="Arial"/>
                <w:color w:val="000000"/>
                <w:szCs w:val="18"/>
              </w:rPr>
            </w:pPr>
            <w:r w:rsidRPr="00FD607A">
              <w:t>Minor design impact</w:t>
            </w:r>
          </w:p>
        </w:tc>
      </w:tr>
      <w:tr w:rsidR="00D54B28" w:rsidRPr="008A401A" w14:paraId="07D50E05" w14:textId="77777777" w:rsidTr="00D54B28">
        <w:trPr>
          <w:trHeight w:val="20"/>
        </w:trPr>
        <w:tc>
          <w:tcPr>
            <w:tcW w:w="1194" w:type="pct"/>
            <w:shd w:val="clear" w:color="auto" w:fill="FFFFFF" w:themeFill="background1"/>
            <w:vAlign w:val="center"/>
            <w:hideMark/>
          </w:tcPr>
          <w:p w14:paraId="691D3C1B"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Inventory</w:t>
            </w:r>
          </w:p>
        </w:tc>
        <w:tc>
          <w:tcPr>
            <w:tcW w:w="341" w:type="pct"/>
            <w:shd w:val="clear" w:color="auto" w:fill="FFFFFF" w:themeFill="background1"/>
            <w:hideMark/>
          </w:tcPr>
          <w:p w14:paraId="2197C6EE" w14:textId="6B943F46" w:rsidR="009757B3" w:rsidRPr="008A401A" w:rsidRDefault="009757B3" w:rsidP="006D67DD">
            <w:pPr>
              <w:spacing w:line="240" w:lineRule="auto"/>
              <w:jc w:val="center"/>
              <w:rPr>
                <w:rFonts w:eastAsia="等线" w:cs="Arial"/>
                <w:color w:val="000000"/>
                <w:szCs w:val="18"/>
              </w:rPr>
            </w:pPr>
            <w:r w:rsidRPr="00FD607A">
              <w:t>8</w:t>
            </w:r>
          </w:p>
        </w:tc>
        <w:tc>
          <w:tcPr>
            <w:tcW w:w="1791" w:type="pct"/>
            <w:shd w:val="clear" w:color="auto" w:fill="FFFFFF" w:themeFill="background1"/>
            <w:hideMark/>
          </w:tcPr>
          <w:p w14:paraId="56B75A3F" w14:textId="569D6135" w:rsidR="009757B3" w:rsidRPr="008A401A" w:rsidRDefault="009757B3" w:rsidP="006D67DD">
            <w:pPr>
              <w:spacing w:line="240" w:lineRule="auto"/>
              <w:jc w:val="center"/>
              <w:rPr>
                <w:rFonts w:eastAsia="等线" w:cs="Arial"/>
                <w:color w:val="000000"/>
                <w:szCs w:val="18"/>
              </w:rPr>
            </w:pPr>
            <w:r w:rsidRPr="00FD607A">
              <w:t>Hydrogen and electrolyte storage</w:t>
            </w:r>
          </w:p>
        </w:tc>
        <w:tc>
          <w:tcPr>
            <w:tcW w:w="341" w:type="pct"/>
            <w:shd w:val="clear" w:color="auto" w:fill="FFFFFF" w:themeFill="background1"/>
            <w:hideMark/>
          </w:tcPr>
          <w:p w14:paraId="530E0F28" w14:textId="185BB8FD" w:rsidR="009757B3" w:rsidRPr="008A401A" w:rsidRDefault="009757B3" w:rsidP="006D67DD">
            <w:pPr>
              <w:spacing w:line="240" w:lineRule="auto"/>
              <w:jc w:val="center"/>
              <w:rPr>
                <w:rFonts w:eastAsia="等线" w:cs="Arial"/>
                <w:color w:val="000000"/>
                <w:szCs w:val="18"/>
              </w:rPr>
            </w:pPr>
            <w:r w:rsidRPr="00FD607A">
              <w:t>4%</w:t>
            </w:r>
          </w:p>
        </w:tc>
        <w:tc>
          <w:tcPr>
            <w:tcW w:w="1333" w:type="pct"/>
            <w:shd w:val="clear" w:color="auto" w:fill="FFFFFF" w:themeFill="background1"/>
            <w:hideMark/>
          </w:tcPr>
          <w:p w14:paraId="5D685D6D" w14:textId="215A099A" w:rsidR="009757B3" w:rsidRPr="008A401A" w:rsidRDefault="009757B3" w:rsidP="006D67DD">
            <w:pPr>
              <w:spacing w:line="240" w:lineRule="auto"/>
              <w:jc w:val="center"/>
              <w:rPr>
                <w:rFonts w:eastAsia="等线" w:cs="Arial"/>
                <w:color w:val="000000"/>
                <w:szCs w:val="18"/>
              </w:rPr>
            </w:pPr>
            <w:r w:rsidRPr="00FD607A">
              <w:t>Stability concern</w:t>
            </w:r>
          </w:p>
        </w:tc>
      </w:tr>
      <w:tr w:rsidR="00D54B28" w:rsidRPr="008A401A" w14:paraId="50BB6830" w14:textId="77777777" w:rsidTr="00D54B28">
        <w:trPr>
          <w:trHeight w:val="20"/>
        </w:trPr>
        <w:tc>
          <w:tcPr>
            <w:tcW w:w="1194" w:type="pct"/>
            <w:shd w:val="clear" w:color="auto" w:fill="FFFFFF" w:themeFill="background1"/>
            <w:vAlign w:val="center"/>
            <w:hideMark/>
          </w:tcPr>
          <w:p w14:paraId="523D6D52"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Process mode</w:t>
            </w:r>
          </w:p>
        </w:tc>
        <w:tc>
          <w:tcPr>
            <w:tcW w:w="341" w:type="pct"/>
            <w:shd w:val="clear" w:color="auto" w:fill="FFFFFF" w:themeFill="background1"/>
            <w:hideMark/>
          </w:tcPr>
          <w:p w14:paraId="1997D030" w14:textId="272D0F33" w:rsidR="009757B3" w:rsidRPr="008A401A" w:rsidRDefault="009757B3" w:rsidP="006D67DD">
            <w:pPr>
              <w:spacing w:line="240" w:lineRule="auto"/>
              <w:jc w:val="center"/>
              <w:rPr>
                <w:rFonts w:eastAsia="等线" w:cs="Arial"/>
                <w:color w:val="000000"/>
                <w:szCs w:val="18"/>
              </w:rPr>
            </w:pPr>
            <w:r w:rsidRPr="00FD607A">
              <w:t>4</w:t>
            </w:r>
          </w:p>
        </w:tc>
        <w:tc>
          <w:tcPr>
            <w:tcW w:w="1791" w:type="pct"/>
            <w:shd w:val="clear" w:color="auto" w:fill="FFFFFF" w:themeFill="background1"/>
            <w:hideMark/>
          </w:tcPr>
          <w:p w14:paraId="701A7C67" w14:textId="316A0F34" w:rsidR="009757B3" w:rsidRPr="008A401A" w:rsidRDefault="009757B3" w:rsidP="006D67DD">
            <w:pPr>
              <w:spacing w:line="240" w:lineRule="auto"/>
              <w:jc w:val="center"/>
              <w:rPr>
                <w:rFonts w:eastAsia="等线" w:cs="Arial"/>
                <w:color w:val="000000"/>
                <w:szCs w:val="18"/>
              </w:rPr>
            </w:pPr>
            <w:r w:rsidRPr="00FD607A">
              <w:t>Continuous process</w:t>
            </w:r>
          </w:p>
        </w:tc>
        <w:tc>
          <w:tcPr>
            <w:tcW w:w="341" w:type="pct"/>
            <w:shd w:val="clear" w:color="auto" w:fill="FFFFFF" w:themeFill="background1"/>
            <w:hideMark/>
          </w:tcPr>
          <w:p w14:paraId="432379BF" w14:textId="4BC97912" w:rsidR="009757B3" w:rsidRPr="008A401A" w:rsidRDefault="009757B3" w:rsidP="006D67DD">
            <w:pPr>
              <w:spacing w:line="240" w:lineRule="auto"/>
              <w:jc w:val="center"/>
              <w:rPr>
                <w:rFonts w:eastAsia="等线" w:cs="Arial"/>
                <w:color w:val="000000"/>
                <w:szCs w:val="18"/>
              </w:rPr>
            </w:pPr>
            <w:r w:rsidRPr="00FD607A">
              <w:t>3%</w:t>
            </w:r>
          </w:p>
        </w:tc>
        <w:tc>
          <w:tcPr>
            <w:tcW w:w="1333" w:type="pct"/>
            <w:shd w:val="clear" w:color="auto" w:fill="FFFFFF" w:themeFill="background1"/>
            <w:hideMark/>
          </w:tcPr>
          <w:p w14:paraId="430277D1" w14:textId="471F201D" w:rsidR="009757B3" w:rsidRPr="008A401A" w:rsidRDefault="009757B3" w:rsidP="006D67DD">
            <w:pPr>
              <w:spacing w:line="240" w:lineRule="auto"/>
              <w:jc w:val="center"/>
              <w:rPr>
                <w:rFonts w:eastAsia="等线" w:cs="Arial"/>
                <w:color w:val="000000"/>
                <w:szCs w:val="18"/>
              </w:rPr>
            </w:pPr>
            <w:r w:rsidRPr="00FD607A">
              <w:t>Environmental concerns</w:t>
            </w:r>
          </w:p>
        </w:tc>
      </w:tr>
      <w:tr w:rsidR="00D54B28" w:rsidRPr="008A401A" w14:paraId="02BCC0CF" w14:textId="77777777" w:rsidTr="00D54B28">
        <w:trPr>
          <w:trHeight w:val="20"/>
        </w:trPr>
        <w:tc>
          <w:tcPr>
            <w:tcW w:w="1194" w:type="pct"/>
            <w:shd w:val="clear" w:color="auto" w:fill="FFFFFF" w:themeFill="background1"/>
            <w:vAlign w:val="center"/>
            <w:hideMark/>
          </w:tcPr>
          <w:p w14:paraId="434CCCB0"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Flow rate</w:t>
            </w:r>
          </w:p>
        </w:tc>
        <w:tc>
          <w:tcPr>
            <w:tcW w:w="341" w:type="pct"/>
            <w:shd w:val="clear" w:color="auto" w:fill="FFFFFF" w:themeFill="background1"/>
            <w:hideMark/>
          </w:tcPr>
          <w:p w14:paraId="74555147" w14:textId="311E2FCE" w:rsidR="009757B3" w:rsidRPr="008A401A" w:rsidRDefault="009757B3" w:rsidP="006D67DD">
            <w:pPr>
              <w:spacing w:line="240" w:lineRule="auto"/>
              <w:jc w:val="center"/>
              <w:rPr>
                <w:rFonts w:eastAsia="等线" w:cs="Arial"/>
                <w:color w:val="000000"/>
                <w:szCs w:val="18"/>
              </w:rPr>
            </w:pPr>
            <w:r w:rsidRPr="00FD607A">
              <w:t>5</w:t>
            </w:r>
          </w:p>
        </w:tc>
        <w:tc>
          <w:tcPr>
            <w:tcW w:w="1791" w:type="pct"/>
            <w:shd w:val="clear" w:color="auto" w:fill="FFFFFF" w:themeFill="background1"/>
            <w:hideMark/>
          </w:tcPr>
          <w:p w14:paraId="081C0CBA" w14:textId="60430E97" w:rsidR="009757B3" w:rsidRPr="008A401A" w:rsidRDefault="009757B3" w:rsidP="006D67DD">
            <w:pPr>
              <w:spacing w:line="240" w:lineRule="auto"/>
              <w:jc w:val="center"/>
              <w:rPr>
                <w:rFonts w:eastAsia="等线" w:cs="Arial"/>
                <w:color w:val="000000"/>
                <w:szCs w:val="18"/>
              </w:rPr>
            </w:pPr>
            <w:r w:rsidRPr="00FD607A">
              <w:t>Stable flow requirement</w:t>
            </w:r>
          </w:p>
        </w:tc>
        <w:tc>
          <w:tcPr>
            <w:tcW w:w="341" w:type="pct"/>
            <w:shd w:val="clear" w:color="auto" w:fill="FFFFFF" w:themeFill="background1"/>
            <w:hideMark/>
          </w:tcPr>
          <w:p w14:paraId="3720FFD5" w14:textId="441FC2F5" w:rsidR="009757B3" w:rsidRPr="008A401A" w:rsidRDefault="009757B3" w:rsidP="006D67DD">
            <w:pPr>
              <w:spacing w:line="240" w:lineRule="auto"/>
              <w:jc w:val="center"/>
              <w:rPr>
                <w:rFonts w:eastAsia="等线" w:cs="Arial"/>
                <w:color w:val="000000"/>
                <w:szCs w:val="18"/>
              </w:rPr>
            </w:pPr>
            <w:r w:rsidRPr="00FD607A">
              <w:t>3%</w:t>
            </w:r>
          </w:p>
        </w:tc>
        <w:tc>
          <w:tcPr>
            <w:tcW w:w="1333" w:type="pct"/>
            <w:shd w:val="clear" w:color="auto" w:fill="FFFFFF" w:themeFill="background1"/>
            <w:hideMark/>
          </w:tcPr>
          <w:p w14:paraId="08035411" w14:textId="020BB0ED" w:rsidR="009757B3" w:rsidRPr="008A401A" w:rsidRDefault="009757B3" w:rsidP="006D67DD">
            <w:pPr>
              <w:spacing w:line="240" w:lineRule="auto"/>
              <w:jc w:val="center"/>
              <w:rPr>
                <w:rFonts w:eastAsia="等线" w:cs="Arial"/>
                <w:color w:val="000000"/>
                <w:szCs w:val="18"/>
              </w:rPr>
            </w:pPr>
            <w:r w:rsidRPr="00FD607A">
              <w:t>Temp control risk</w:t>
            </w:r>
          </w:p>
        </w:tc>
      </w:tr>
      <w:tr w:rsidR="00D54B28" w:rsidRPr="008A401A" w14:paraId="34DB5E4F" w14:textId="77777777" w:rsidTr="00D54B28">
        <w:trPr>
          <w:trHeight w:val="20"/>
        </w:trPr>
        <w:tc>
          <w:tcPr>
            <w:tcW w:w="1194" w:type="pct"/>
            <w:shd w:val="clear" w:color="auto" w:fill="FFFFFF" w:themeFill="background1"/>
            <w:vAlign w:val="center"/>
            <w:hideMark/>
          </w:tcPr>
          <w:p w14:paraId="36A1BE27"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Concentration</w:t>
            </w:r>
          </w:p>
        </w:tc>
        <w:tc>
          <w:tcPr>
            <w:tcW w:w="341" w:type="pct"/>
            <w:shd w:val="clear" w:color="auto" w:fill="FFFFFF" w:themeFill="background1"/>
            <w:hideMark/>
          </w:tcPr>
          <w:p w14:paraId="7608B528" w14:textId="2D5EA190" w:rsidR="009757B3" w:rsidRPr="008A401A" w:rsidRDefault="009757B3" w:rsidP="006D67DD">
            <w:pPr>
              <w:spacing w:line="240" w:lineRule="auto"/>
              <w:jc w:val="center"/>
              <w:rPr>
                <w:rFonts w:eastAsia="等线" w:cs="Arial"/>
                <w:color w:val="000000"/>
                <w:szCs w:val="18"/>
              </w:rPr>
            </w:pPr>
            <w:r w:rsidRPr="00FD607A">
              <w:t>7</w:t>
            </w:r>
          </w:p>
        </w:tc>
        <w:tc>
          <w:tcPr>
            <w:tcW w:w="1791" w:type="pct"/>
            <w:shd w:val="clear" w:color="auto" w:fill="FFFFFF" w:themeFill="background1"/>
            <w:hideMark/>
          </w:tcPr>
          <w:p w14:paraId="471ABB50" w14:textId="2E87E38A" w:rsidR="009757B3" w:rsidRPr="008A401A" w:rsidRDefault="009757B3" w:rsidP="006D67DD">
            <w:pPr>
              <w:spacing w:line="240" w:lineRule="auto"/>
              <w:jc w:val="center"/>
              <w:rPr>
                <w:rFonts w:eastAsia="等线" w:cs="Arial"/>
                <w:color w:val="000000"/>
                <w:szCs w:val="18"/>
              </w:rPr>
            </w:pPr>
            <w:r w:rsidRPr="00FD607A">
              <w:t>Precise control needed</w:t>
            </w:r>
          </w:p>
        </w:tc>
        <w:tc>
          <w:tcPr>
            <w:tcW w:w="341" w:type="pct"/>
            <w:shd w:val="clear" w:color="auto" w:fill="FFFFFF" w:themeFill="background1"/>
            <w:hideMark/>
          </w:tcPr>
          <w:p w14:paraId="6790C899" w14:textId="264E23AD" w:rsidR="009757B3" w:rsidRPr="008A401A" w:rsidRDefault="009757B3" w:rsidP="006D67DD">
            <w:pPr>
              <w:spacing w:line="240" w:lineRule="auto"/>
              <w:jc w:val="center"/>
              <w:rPr>
                <w:rFonts w:eastAsia="等线" w:cs="Arial"/>
                <w:color w:val="000000"/>
                <w:szCs w:val="18"/>
              </w:rPr>
            </w:pPr>
            <w:r w:rsidRPr="00FD607A">
              <w:t>3%</w:t>
            </w:r>
          </w:p>
        </w:tc>
        <w:tc>
          <w:tcPr>
            <w:tcW w:w="1333" w:type="pct"/>
            <w:shd w:val="clear" w:color="auto" w:fill="FFFFFF" w:themeFill="background1"/>
            <w:hideMark/>
          </w:tcPr>
          <w:p w14:paraId="386C7BEF" w14:textId="19110347" w:rsidR="009757B3" w:rsidRPr="008A401A" w:rsidRDefault="009757B3" w:rsidP="006D67DD">
            <w:pPr>
              <w:spacing w:line="240" w:lineRule="auto"/>
              <w:jc w:val="center"/>
              <w:rPr>
                <w:rFonts w:eastAsia="等线" w:cs="Arial"/>
                <w:color w:val="000000"/>
                <w:szCs w:val="18"/>
              </w:rPr>
            </w:pPr>
            <w:r w:rsidRPr="00FD607A">
              <w:t>Explosion risk</w:t>
            </w:r>
          </w:p>
        </w:tc>
      </w:tr>
      <w:tr w:rsidR="00D54B28" w:rsidRPr="008A401A" w14:paraId="1D65DF96" w14:textId="77777777" w:rsidTr="00D54B28">
        <w:trPr>
          <w:trHeight w:val="20"/>
        </w:trPr>
        <w:tc>
          <w:tcPr>
            <w:tcW w:w="1194" w:type="pct"/>
            <w:shd w:val="clear" w:color="auto" w:fill="FFFFFF" w:themeFill="background1"/>
            <w:vAlign w:val="center"/>
            <w:hideMark/>
          </w:tcPr>
          <w:p w14:paraId="34241A93"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Level</w:t>
            </w:r>
          </w:p>
        </w:tc>
        <w:tc>
          <w:tcPr>
            <w:tcW w:w="341" w:type="pct"/>
            <w:shd w:val="clear" w:color="auto" w:fill="FFFFFF" w:themeFill="background1"/>
            <w:hideMark/>
          </w:tcPr>
          <w:p w14:paraId="681C387D" w14:textId="651F3273" w:rsidR="009757B3" w:rsidRPr="008A401A" w:rsidRDefault="009757B3" w:rsidP="006D67DD">
            <w:pPr>
              <w:spacing w:line="240" w:lineRule="auto"/>
              <w:jc w:val="center"/>
              <w:rPr>
                <w:rFonts w:eastAsia="等线" w:cs="Arial"/>
                <w:color w:val="000000"/>
                <w:szCs w:val="18"/>
              </w:rPr>
            </w:pPr>
            <w:r w:rsidRPr="00FD607A">
              <w:t>6</w:t>
            </w:r>
          </w:p>
        </w:tc>
        <w:tc>
          <w:tcPr>
            <w:tcW w:w="1791" w:type="pct"/>
            <w:shd w:val="clear" w:color="auto" w:fill="FFFFFF" w:themeFill="background1"/>
            <w:hideMark/>
          </w:tcPr>
          <w:p w14:paraId="1DB0115E" w14:textId="2C190E36" w:rsidR="009757B3" w:rsidRPr="008A401A" w:rsidRDefault="009757B3" w:rsidP="006D67DD">
            <w:pPr>
              <w:spacing w:line="240" w:lineRule="auto"/>
              <w:jc w:val="center"/>
              <w:rPr>
                <w:rFonts w:eastAsia="等线" w:cs="Arial"/>
                <w:color w:val="000000"/>
                <w:szCs w:val="18"/>
              </w:rPr>
            </w:pPr>
            <w:r w:rsidRPr="00FD607A">
              <w:t>Electrolyte level variability</w:t>
            </w:r>
          </w:p>
        </w:tc>
        <w:tc>
          <w:tcPr>
            <w:tcW w:w="341" w:type="pct"/>
            <w:shd w:val="clear" w:color="auto" w:fill="FFFFFF" w:themeFill="background1"/>
            <w:hideMark/>
          </w:tcPr>
          <w:p w14:paraId="06970397" w14:textId="1E036ADE" w:rsidR="009757B3" w:rsidRPr="008A401A" w:rsidRDefault="009757B3" w:rsidP="006D67DD">
            <w:pPr>
              <w:spacing w:line="240" w:lineRule="auto"/>
              <w:jc w:val="center"/>
              <w:rPr>
                <w:rFonts w:eastAsia="等线" w:cs="Arial"/>
                <w:color w:val="000000"/>
                <w:szCs w:val="18"/>
              </w:rPr>
            </w:pPr>
            <w:r w:rsidRPr="00FD607A">
              <w:t>3%</w:t>
            </w:r>
          </w:p>
        </w:tc>
        <w:tc>
          <w:tcPr>
            <w:tcW w:w="1333" w:type="pct"/>
            <w:shd w:val="clear" w:color="auto" w:fill="FFFFFF" w:themeFill="background1"/>
            <w:hideMark/>
          </w:tcPr>
          <w:p w14:paraId="6A71736C" w14:textId="7DA0FFF6" w:rsidR="009757B3" w:rsidRPr="008A401A" w:rsidRDefault="009757B3" w:rsidP="006D67DD">
            <w:pPr>
              <w:spacing w:line="240" w:lineRule="auto"/>
              <w:jc w:val="center"/>
              <w:rPr>
                <w:rFonts w:eastAsia="等线" w:cs="Arial"/>
                <w:color w:val="000000"/>
                <w:szCs w:val="18"/>
              </w:rPr>
            </w:pPr>
            <w:r w:rsidRPr="00FD607A">
              <w:t>Efficiency impact</w:t>
            </w:r>
          </w:p>
        </w:tc>
      </w:tr>
      <w:tr w:rsidR="00D54B28" w:rsidRPr="008A401A" w14:paraId="781F6757" w14:textId="77777777" w:rsidTr="00D54B28">
        <w:trPr>
          <w:trHeight w:val="20"/>
        </w:trPr>
        <w:tc>
          <w:tcPr>
            <w:tcW w:w="1194" w:type="pct"/>
            <w:shd w:val="clear" w:color="auto" w:fill="FFFFFF" w:themeFill="background1"/>
            <w:vAlign w:val="center"/>
            <w:hideMark/>
          </w:tcPr>
          <w:p w14:paraId="5D7F9228"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pH</w:t>
            </w:r>
          </w:p>
        </w:tc>
        <w:tc>
          <w:tcPr>
            <w:tcW w:w="341" w:type="pct"/>
            <w:shd w:val="clear" w:color="auto" w:fill="FFFFFF" w:themeFill="background1"/>
            <w:hideMark/>
          </w:tcPr>
          <w:p w14:paraId="0216FDF3" w14:textId="21D64884" w:rsidR="009757B3" w:rsidRPr="008A401A" w:rsidRDefault="009757B3" w:rsidP="006D67DD">
            <w:pPr>
              <w:spacing w:line="240" w:lineRule="auto"/>
              <w:jc w:val="center"/>
              <w:rPr>
                <w:rFonts w:eastAsia="等线" w:cs="Arial"/>
                <w:color w:val="000000"/>
                <w:szCs w:val="18"/>
              </w:rPr>
            </w:pPr>
            <w:r w:rsidRPr="00FD607A">
              <w:t>5</w:t>
            </w:r>
          </w:p>
        </w:tc>
        <w:tc>
          <w:tcPr>
            <w:tcW w:w="1791" w:type="pct"/>
            <w:shd w:val="clear" w:color="auto" w:fill="FFFFFF" w:themeFill="background1"/>
            <w:hideMark/>
          </w:tcPr>
          <w:p w14:paraId="4718F897" w14:textId="45D19647" w:rsidR="009757B3" w:rsidRPr="008A401A" w:rsidRDefault="009757B3" w:rsidP="006D67DD">
            <w:pPr>
              <w:spacing w:line="240" w:lineRule="auto"/>
              <w:jc w:val="center"/>
              <w:rPr>
                <w:rFonts w:eastAsia="等线" w:cs="Arial"/>
                <w:color w:val="000000"/>
                <w:szCs w:val="18"/>
              </w:rPr>
            </w:pPr>
            <w:r w:rsidRPr="00FD607A">
              <w:t>Strict pH control required</w:t>
            </w:r>
          </w:p>
        </w:tc>
        <w:tc>
          <w:tcPr>
            <w:tcW w:w="341" w:type="pct"/>
            <w:shd w:val="clear" w:color="auto" w:fill="FFFFFF" w:themeFill="background1"/>
            <w:hideMark/>
          </w:tcPr>
          <w:p w14:paraId="2405A43B" w14:textId="66E72341" w:rsidR="009757B3" w:rsidRPr="008A401A" w:rsidRDefault="009757B3" w:rsidP="006D67DD">
            <w:pPr>
              <w:spacing w:line="240" w:lineRule="auto"/>
              <w:jc w:val="center"/>
              <w:rPr>
                <w:rFonts w:eastAsia="等线" w:cs="Arial"/>
                <w:color w:val="000000"/>
                <w:szCs w:val="18"/>
              </w:rPr>
            </w:pPr>
            <w:r w:rsidRPr="00FD607A">
              <w:t>3%</w:t>
            </w:r>
          </w:p>
        </w:tc>
        <w:tc>
          <w:tcPr>
            <w:tcW w:w="1333" w:type="pct"/>
            <w:shd w:val="clear" w:color="auto" w:fill="FFFFFF" w:themeFill="background1"/>
            <w:hideMark/>
          </w:tcPr>
          <w:p w14:paraId="077A4115" w14:textId="5C9B0C74" w:rsidR="009757B3" w:rsidRPr="008A401A" w:rsidRDefault="009757B3" w:rsidP="006D67DD">
            <w:pPr>
              <w:spacing w:line="240" w:lineRule="auto"/>
              <w:jc w:val="center"/>
              <w:rPr>
                <w:rFonts w:eastAsia="等线" w:cs="Arial"/>
                <w:color w:val="000000"/>
                <w:szCs w:val="18"/>
              </w:rPr>
            </w:pPr>
            <w:r w:rsidRPr="00FD607A">
              <w:t>Leakage risk</w:t>
            </w:r>
          </w:p>
        </w:tc>
      </w:tr>
      <w:tr w:rsidR="00D54B28" w:rsidRPr="008A401A" w14:paraId="4FCD63AD" w14:textId="77777777" w:rsidTr="00D54B28">
        <w:trPr>
          <w:trHeight w:val="20"/>
        </w:trPr>
        <w:tc>
          <w:tcPr>
            <w:tcW w:w="1194" w:type="pct"/>
            <w:shd w:val="clear" w:color="auto" w:fill="FFFFFF" w:themeFill="background1"/>
            <w:vAlign w:val="center"/>
            <w:hideMark/>
          </w:tcPr>
          <w:p w14:paraId="29AFBAB0"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Flowability</w:t>
            </w:r>
          </w:p>
        </w:tc>
        <w:tc>
          <w:tcPr>
            <w:tcW w:w="341" w:type="pct"/>
            <w:shd w:val="clear" w:color="auto" w:fill="FFFFFF" w:themeFill="background1"/>
            <w:hideMark/>
          </w:tcPr>
          <w:p w14:paraId="5599CA0D" w14:textId="170081E6" w:rsidR="009757B3" w:rsidRPr="008A401A" w:rsidRDefault="009757B3" w:rsidP="006D67DD">
            <w:pPr>
              <w:spacing w:line="240" w:lineRule="auto"/>
              <w:jc w:val="center"/>
              <w:rPr>
                <w:rFonts w:eastAsia="等线" w:cs="Arial"/>
                <w:color w:val="000000"/>
                <w:szCs w:val="18"/>
              </w:rPr>
            </w:pPr>
            <w:r w:rsidRPr="00FD607A">
              <w:t>4</w:t>
            </w:r>
          </w:p>
        </w:tc>
        <w:tc>
          <w:tcPr>
            <w:tcW w:w="1791" w:type="pct"/>
            <w:shd w:val="clear" w:color="auto" w:fill="FFFFFF" w:themeFill="background1"/>
            <w:hideMark/>
          </w:tcPr>
          <w:p w14:paraId="07E945F1" w14:textId="28071A29" w:rsidR="009757B3" w:rsidRPr="008A401A" w:rsidRDefault="009757B3" w:rsidP="006D67DD">
            <w:pPr>
              <w:spacing w:line="240" w:lineRule="auto"/>
              <w:jc w:val="center"/>
              <w:rPr>
                <w:rFonts w:eastAsia="等线" w:cs="Arial"/>
                <w:color w:val="000000"/>
                <w:szCs w:val="18"/>
              </w:rPr>
            </w:pPr>
            <w:r w:rsidRPr="00FD607A">
              <w:t>Fluidity variation</w:t>
            </w:r>
          </w:p>
        </w:tc>
        <w:tc>
          <w:tcPr>
            <w:tcW w:w="341" w:type="pct"/>
            <w:shd w:val="clear" w:color="auto" w:fill="FFFFFF" w:themeFill="background1"/>
            <w:hideMark/>
          </w:tcPr>
          <w:p w14:paraId="1B2CF3A3" w14:textId="5052BE77" w:rsidR="009757B3" w:rsidRPr="008A401A" w:rsidRDefault="009757B3" w:rsidP="006D67DD">
            <w:pPr>
              <w:spacing w:line="240" w:lineRule="auto"/>
              <w:jc w:val="center"/>
              <w:rPr>
                <w:rFonts w:eastAsia="等线" w:cs="Arial"/>
                <w:color w:val="000000"/>
                <w:szCs w:val="18"/>
              </w:rPr>
            </w:pPr>
            <w:r w:rsidRPr="00FD607A">
              <w:t>2%</w:t>
            </w:r>
          </w:p>
        </w:tc>
        <w:tc>
          <w:tcPr>
            <w:tcW w:w="1333" w:type="pct"/>
            <w:shd w:val="clear" w:color="auto" w:fill="FFFFFF" w:themeFill="background1"/>
            <w:hideMark/>
          </w:tcPr>
          <w:p w14:paraId="268B79D3" w14:textId="6DFBD33B" w:rsidR="009757B3" w:rsidRPr="008A401A" w:rsidRDefault="009757B3" w:rsidP="006D67DD">
            <w:pPr>
              <w:spacing w:line="240" w:lineRule="auto"/>
              <w:jc w:val="center"/>
              <w:rPr>
                <w:rFonts w:eastAsia="等线" w:cs="Arial"/>
                <w:color w:val="000000"/>
                <w:szCs w:val="18"/>
              </w:rPr>
            </w:pPr>
            <w:r w:rsidRPr="00FD607A">
              <w:t>Stability impact</w:t>
            </w:r>
          </w:p>
        </w:tc>
      </w:tr>
      <w:tr w:rsidR="00D54B28" w:rsidRPr="008A401A" w14:paraId="4E8E8DF7" w14:textId="77777777" w:rsidTr="00D54B28">
        <w:trPr>
          <w:trHeight w:val="20"/>
        </w:trPr>
        <w:tc>
          <w:tcPr>
            <w:tcW w:w="1194" w:type="pct"/>
            <w:tcBorders>
              <w:bottom w:val="single" w:sz="4" w:space="0" w:color="006600"/>
            </w:tcBorders>
            <w:shd w:val="clear" w:color="auto" w:fill="FFFFFF" w:themeFill="background1"/>
            <w:vAlign w:val="center"/>
            <w:hideMark/>
          </w:tcPr>
          <w:p w14:paraId="60EF5B20"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Type of unit operation</w:t>
            </w:r>
          </w:p>
        </w:tc>
        <w:tc>
          <w:tcPr>
            <w:tcW w:w="341" w:type="pct"/>
            <w:tcBorders>
              <w:bottom w:val="single" w:sz="4" w:space="0" w:color="006600"/>
            </w:tcBorders>
            <w:shd w:val="clear" w:color="auto" w:fill="FFFFFF" w:themeFill="background1"/>
            <w:hideMark/>
          </w:tcPr>
          <w:p w14:paraId="5987C47F" w14:textId="62D16122" w:rsidR="009757B3" w:rsidRPr="008A401A" w:rsidRDefault="009757B3" w:rsidP="006D67DD">
            <w:pPr>
              <w:spacing w:line="240" w:lineRule="auto"/>
              <w:jc w:val="center"/>
              <w:rPr>
                <w:rFonts w:eastAsia="等线" w:cs="Arial"/>
                <w:color w:val="000000"/>
                <w:szCs w:val="18"/>
              </w:rPr>
            </w:pPr>
            <w:r w:rsidRPr="00FD607A">
              <w:t>5</w:t>
            </w:r>
          </w:p>
        </w:tc>
        <w:tc>
          <w:tcPr>
            <w:tcW w:w="1791" w:type="pct"/>
            <w:tcBorders>
              <w:bottom w:val="single" w:sz="4" w:space="0" w:color="006600"/>
            </w:tcBorders>
            <w:shd w:val="clear" w:color="auto" w:fill="FFFFFF" w:themeFill="background1"/>
            <w:hideMark/>
          </w:tcPr>
          <w:p w14:paraId="488A2F3A" w14:textId="298F0289" w:rsidR="009757B3" w:rsidRPr="008A401A" w:rsidRDefault="009757B3" w:rsidP="006D67DD">
            <w:pPr>
              <w:spacing w:line="240" w:lineRule="auto"/>
              <w:jc w:val="center"/>
              <w:rPr>
                <w:rFonts w:eastAsia="等线" w:cs="Arial"/>
                <w:color w:val="000000"/>
                <w:szCs w:val="18"/>
              </w:rPr>
            </w:pPr>
            <w:r w:rsidRPr="00FD607A">
              <w:t>Multiple process components</w:t>
            </w:r>
          </w:p>
        </w:tc>
        <w:tc>
          <w:tcPr>
            <w:tcW w:w="341" w:type="pct"/>
            <w:tcBorders>
              <w:bottom w:val="single" w:sz="4" w:space="0" w:color="006600"/>
            </w:tcBorders>
            <w:shd w:val="clear" w:color="auto" w:fill="FFFFFF" w:themeFill="background1"/>
            <w:hideMark/>
          </w:tcPr>
          <w:p w14:paraId="78429DE8" w14:textId="1DA3CA66" w:rsidR="009757B3" w:rsidRPr="008A401A" w:rsidRDefault="009757B3" w:rsidP="006D67DD">
            <w:pPr>
              <w:spacing w:line="240" w:lineRule="auto"/>
              <w:jc w:val="center"/>
              <w:rPr>
                <w:rFonts w:eastAsia="等线" w:cs="Arial"/>
                <w:color w:val="000000"/>
                <w:szCs w:val="18"/>
              </w:rPr>
            </w:pPr>
            <w:r w:rsidRPr="00FD607A">
              <w:t>3%</w:t>
            </w:r>
          </w:p>
        </w:tc>
        <w:tc>
          <w:tcPr>
            <w:tcW w:w="1333" w:type="pct"/>
            <w:tcBorders>
              <w:bottom w:val="single" w:sz="4" w:space="0" w:color="006600"/>
            </w:tcBorders>
            <w:shd w:val="clear" w:color="auto" w:fill="FFFFFF" w:themeFill="background1"/>
            <w:hideMark/>
          </w:tcPr>
          <w:p w14:paraId="2EB0C551" w14:textId="065AB775" w:rsidR="009757B3" w:rsidRPr="008A401A" w:rsidRDefault="009757B3" w:rsidP="006D67DD">
            <w:pPr>
              <w:spacing w:line="240" w:lineRule="auto"/>
              <w:jc w:val="center"/>
              <w:rPr>
                <w:rFonts w:eastAsia="等线" w:cs="Arial"/>
                <w:color w:val="000000"/>
                <w:szCs w:val="18"/>
              </w:rPr>
            </w:pPr>
            <w:r w:rsidRPr="00FD607A">
              <w:t>Efficiency concerns</w:t>
            </w:r>
          </w:p>
        </w:tc>
      </w:tr>
      <w:tr w:rsidR="009757B3" w:rsidRPr="008A401A" w14:paraId="7BDC5685" w14:textId="77777777" w:rsidTr="003F2E4A">
        <w:trPr>
          <w:trHeight w:val="20"/>
        </w:trPr>
        <w:tc>
          <w:tcPr>
            <w:tcW w:w="5000" w:type="pct"/>
            <w:gridSpan w:val="5"/>
            <w:tcBorders>
              <w:top w:val="single" w:sz="4" w:space="0" w:color="006600"/>
              <w:bottom w:val="single" w:sz="4" w:space="0" w:color="006600"/>
            </w:tcBorders>
            <w:shd w:val="clear" w:color="auto" w:fill="FFFFFF" w:themeFill="background1"/>
            <w:vAlign w:val="center"/>
          </w:tcPr>
          <w:p w14:paraId="39EAB2DB" w14:textId="4E3B3F89" w:rsidR="009757B3" w:rsidRPr="00FD607A" w:rsidRDefault="009757B3" w:rsidP="006D67DD">
            <w:pPr>
              <w:spacing w:line="240" w:lineRule="auto"/>
              <w:jc w:val="center"/>
            </w:pPr>
            <w:r w:rsidRPr="008A401A">
              <w:rPr>
                <w:rFonts w:eastAsia="等线" w:cs="Arial"/>
                <w:color w:val="000000"/>
                <w:szCs w:val="18"/>
              </w:rPr>
              <w:t>Reaction</w:t>
            </w:r>
          </w:p>
        </w:tc>
      </w:tr>
      <w:tr w:rsidR="00D54B28" w:rsidRPr="008A401A" w14:paraId="61BB1DB9" w14:textId="77777777" w:rsidTr="00D54B28">
        <w:trPr>
          <w:trHeight w:val="20"/>
        </w:trPr>
        <w:tc>
          <w:tcPr>
            <w:tcW w:w="1194" w:type="pct"/>
            <w:tcBorders>
              <w:top w:val="single" w:sz="4" w:space="0" w:color="006600"/>
            </w:tcBorders>
            <w:shd w:val="clear" w:color="auto" w:fill="FFFFFF" w:themeFill="background1"/>
            <w:vAlign w:val="center"/>
            <w:hideMark/>
          </w:tcPr>
          <w:p w14:paraId="026CCCB5"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Chemical interaction</w:t>
            </w:r>
          </w:p>
        </w:tc>
        <w:tc>
          <w:tcPr>
            <w:tcW w:w="341" w:type="pct"/>
            <w:tcBorders>
              <w:top w:val="single" w:sz="4" w:space="0" w:color="006600"/>
            </w:tcBorders>
            <w:shd w:val="clear" w:color="auto" w:fill="FFFFFF" w:themeFill="background1"/>
            <w:hideMark/>
          </w:tcPr>
          <w:p w14:paraId="22F5E21F" w14:textId="719AC8F9" w:rsidR="009757B3" w:rsidRPr="008A401A" w:rsidRDefault="009757B3" w:rsidP="006D67DD">
            <w:pPr>
              <w:spacing w:line="240" w:lineRule="auto"/>
              <w:jc w:val="center"/>
              <w:rPr>
                <w:rFonts w:eastAsia="等线" w:cs="Arial"/>
                <w:color w:val="000000"/>
                <w:szCs w:val="18"/>
              </w:rPr>
            </w:pPr>
            <w:r w:rsidRPr="00FD607A">
              <w:t>8</w:t>
            </w:r>
          </w:p>
        </w:tc>
        <w:tc>
          <w:tcPr>
            <w:tcW w:w="1791" w:type="pct"/>
            <w:tcBorders>
              <w:top w:val="single" w:sz="4" w:space="0" w:color="006600"/>
            </w:tcBorders>
            <w:shd w:val="clear" w:color="auto" w:fill="FFFFFF" w:themeFill="background1"/>
            <w:hideMark/>
          </w:tcPr>
          <w:p w14:paraId="4DF072BD" w14:textId="23234CAA" w:rsidR="009757B3" w:rsidRPr="008A401A" w:rsidRDefault="009757B3" w:rsidP="006D67DD">
            <w:pPr>
              <w:spacing w:line="240" w:lineRule="auto"/>
              <w:jc w:val="center"/>
              <w:rPr>
                <w:rFonts w:eastAsia="等线" w:cs="Arial"/>
                <w:color w:val="000000"/>
                <w:szCs w:val="18"/>
              </w:rPr>
            </w:pPr>
            <w:r w:rsidRPr="00FD607A">
              <w:t>Complex electrode interactions</w:t>
            </w:r>
          </w:p>
        </w:tc>
        <w:tc>
          <w:tcPr>
            <w:tcW w:w="341" w:type="pct"/>
            <w:tcBorders>
              <w:top w:val="single" w:sz="4" w:space="0" w:color="006600"/>
            </w:tcBorders>
            <w:shd w:val="clear" w:color="auto" w:fill="FFFFFF" w:themeFill="background1"/>
            <w:hideMark/>
          </w:tcPr>
          <w:p w14:paraId="1C6EA556" w14:textId="7CCDF075" w:rsidR="009757B3" w:rsidRPr="008A401A" w:rsidRDefault="009757B3" w:rsidP="006D67DD">
            <w:pPr>
              <w:spacing w:line="240" w:lineRule="auto"/>
              <w:jc w:val="center"/>
              <w:rPr>
                <w:rFonts w:eastAsia="等线" w:cs="Arial"/>
                <w:color w:val="000000"/>
                <w:szCs w:val="18"/>
              </w:rPr>
            </w:pPr>
            <w:r w:rsidRPr="00FD607A">
              <w:t>4%</w:t>
            </w:r>
          </w:p>
        </w:tc>
        <w:tc>
          <w:tcPr>
            <w:tcW w:w="1333" w:type="pct"/>
            <w:tcBorders>
              <w:top w:val="single" w:sz="4" w:space="0" w:color="006600"/>
            </w:tcBorders>
            <w:shd w:val="clear" w:color="auto" w:fill="FFFFFF" w:themeFill="background1"/>
            <w:hideMark/>
          </w:tcPr>
          <w:p w14:paraId="5BC9A490" w14:textId="1359C010" w:rsidR="009757B3" w:rsidRPr="008A401A" w:rsidRDefault="009757B3" w:rsidP="006D67DD">
            <w:pPr>
              <w:spacing w:line="240" w:lineRule="auto"/>
              <w:jc w:val="center"/>
              <w:rPr>
                <w:rFonts w:eastAsia="等线" w:cs="Arial"/>
                <w:color w:val="000000"/>
                <w:szCs w:val="18"/>
              </w:rPr>
            </w:pPr>
            <w:r w:rsidRPr="00FD607A">
              <w:t>Control needed</w:t>
            </w:r>
          </w:p>
        </w:tc>
      </w:tr>
      <w:tr w:rsidR="00D54B28" w:rsidRPr="008A401A" w14:paraId="4CF9F74E" w14:textId="77777777" w:rsidTr="00D54B28">
        <w:trPr>
          <w:trHeight w:val="20"/>
        </w:trPr>
        <w:tc>
          <w:tcPr>
            <w:tcW w:w="1194" w:type="pct"/>
            <w:shd w:val="clear" w:color="auto" w:fill="FFFFFF" w:themeFill="background1"/>
            <w:vAlign w:val="center"/>
            <w:hideMark/>
          </w:tcPr>
          <w:p w14:paraId="05914043"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Heat of primary reaction</w:t>
            </w:r>
          </w:p>
        </w:tc>
        <w:tc>
          <w:tcPr>
            <w:tcW w:w="341" w:type="pct"/>
            <w:shd w:val="clear" w:color="auto" w:fill="FFFFFF" w:themeFill="background1"/>
            <w:hideMark/>
          </w:tcPr>
          <w:p w14:paraId="305B08FB" w14:textId="60486BA6" w:rsidR="009757B3" w:rsidRPr="008A401A" w:rsidRDefault="009757B3" w:rsidP="006D67DD">
            <w:pPr>
              <w:spacing w:line="240" w:lineRule="auto"/>
              <w:jc w:val="center"/>
              <w:rPr>
                <w:rFonts w:eastAsia="等线" w:cs="Arial"/>
                <w:color w:val="000000"/>
                <w:szCs w:val="18"/>
              </w:rPr>
            </w:pPr>
            <w:r w:rsidRPr="00FD607A">
              <w:t>7</w:t>
            </w:r>
          </w:p>
        </w:tc>
        <w:tc>
          <w:tcPr>
            <w:tcW w:w="1791" w:type="pct"/>
            <w:shd w:val="clear" w:color="auto" w:fill="FFFFFF" w:themeFill="background1"/>
            <w:hideMark/>
          </w:tcPr>
          <w:p w14:paraId="2F745954" w14:textId="7A4303D0" w:rsidR="009757B3" w:rsidRPr="008A401A" w:rsidRDefault="009757B3" w:rsidP="006D67DD">
            <w:pPr>
              <w:spacing w:line="240" w:lineRule="auto"/>
              <w:jc w:val="center"/>
              <w:rPr>
                <w:rFonts w:eastAsia="等线" w:cs="Arial"/>
                <w:color w:val="000000"/>
                <w:szCs w:val="18"/>
              </w:rPr>
            </w:pPr>
            <w:r w:rsidRPr="00FD607A">
              <w:t>High heat generation</w:t>
            </w:r>
          </w:p>
        </w:tc>
        <w:tc>
          <w:tcPr>
            <w:tcW w:w="341" w:type="pct"/>
            <w:shd w:val="clear" w:color="auto" w:fill="FFFFFF" w:themeFill="background1"/>
            <w:hideMark/>
          </w:tcPr>
          <w:p w14:paraId="1D93C4AF" w14:textId="3ABA49FD" w:rsidR="009757B3" w:rsidRPr="008A401A" w:rsidRDefault="009757B3" w:rsidP="006D67DD">
            <w:pPr>
              <w:spacing w:line="240" w:lineRule="auto"/>
              <w:jc w:val="center"/>
              <w:rPr>
                <w:rFonts w:eastAsia="等线" w:cs="Arial"/>
                <w:color w:val="000000"/>
                <w:szCs w:val="18"/>
              </w:rPr>
            </w:pPr>
            <w:r w:rsidRPr="00FD607A">
              <w:t>4%</w:t>
            </w:r>
          </w:p>
        </w:tc>
        <w:tc>
          <w:tcPr>
            <w:tcW w:w="1333" w:type="pct"/>
            <w:shd w:val="clear" w:color="auto" w:fill="FFFFFF" w:themeFill="background1"/>
            <w:hideMark/>
          </w:tcPr>
          <w:p w14:paraId="48ED26E5" w14:textId="206FC287" w:rsidR="009757B3" w:rsidRPr="008A401A" w:rsidRDefault="009757B3" w:rsidP="006D67DD">
            <w:pPr>
              <w:spacing w:line="240" w:lineRule="auto"/>
              <w:jc w:val="center"/>
              <w:rPr>
                <w:rFonts w:eastAsia="等线" w:cs="Arial"/>
                <w:color w:val="000000"/>
                <w:szCs w:val="18"/>
              </w:rPr>
            </w:pPr>
            <w:r w:rsidRPr="00FD607A">
              <w:t>Operation impact</w:t>
            </w:r>
          </w:p>
        </w:tc>
      </w:tr>
      <w:tr w:rsidR="00D54B28" w:rsidRPr="008A401A" w14:paraId="5BE289FB" w14:textId="77777777" w:rsidTr="00D54B28">
        <w:trPr>
          <w:trHeight w:val="20"/>
        </w:trPr>
        <w:tc>
          <w:tcPr>
            <w:tcW w:w="1194" w:type="pct"/>
            <w:shd w:val="clear" w:color="auto" w:fill="FFFFFF" w:themeFill="background1"/>
            <w:vAlign w:val="center"/>
            <w:hideMark/>
          </w:tcPr>
          <w:p w14:paraId="5F9878AB"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Heat of secondary reaction</w:t>
            </w:r>
          </w:p>
        </w:tc>
        <w:tc>
          <w:tcPr>
            <w:tcW w:w="341" w:type="pct"/>
            <w:shd w:val="clear" w:color="auto" w:fill="FFFFFF" w:themeFill="background1"/>
            <w:hideMark/>
          </w:tcPr>
          <w:p w14:paraId="775A2417" w14:textId="14A6227D" w:rsidR="009757B3" w:rsidRPr="008A401A" w:rsidRDefault="009757B3" w:rsidP="006D67DD">
            <w:pPr>
              <w:spacing w:line="240" w:lineRule="auto"/>
              <w:jc w:val="center"/>
              <w:rPr>
                <w:rFonts w:eastAsia="等线" w:cs="Arial"/>
                <w:color w:val="000000"/>
                <w:szCs w:val="18"/>
              </w:rPr>
            </w:pPr>
            <w:r w:rsidRPr="00FD607A">
              <w:t>8</w:t>
            </w:r>
          </w:p>
        </w:tc>
        <w:tc>
          <w:tcPr>
            <w:tcW w:w="1791" w:type="pct"/>
            <w:shd w:val="clear" w:color="auto" w:fill="FFFFFF" w:themeFill="background1"/>
            <w:hideMark/>
          </w:tcPr>
          <w:p w14:paraId="58277CBE" w14:textId="5A870900" w:rsidR="009757B3" w:rsidRPr="008A401A" w:rsidRDefault="009757B3" w:rsidP="006D67DD">
            <w:pPr>
              <w:spacing w:line="240" w:lineRule="auto"/>
              <w:jc w:val="center"/>
              <w:rPr>
                <w:rFonts w:eastAsia="等线" w:cs="Arial"/>
                <w:color w:val="000000"/>
                <w:szCs w:val="18"/>
              </w:rPr>
            </w:pPr>
            <w:r w:rsidRPr="00FD607A">
              <w:t>High voltage side-reactions</w:t>
            </w:r>
          </w:p>
        </w:tc>
        <w:tc>
          <w:tcPr>
            <w:tcW w:w="341" w:type="pct"/>
            <w:shd w:val="clear" w:color="auto" w:fill="FFFFFF" w:themeFill="background1"/>
            <w:hideMark/>
          </w:tcPr>
          <w:p w14:paraId="7DE95E8F" w14:textId="53CA2F00" w:rsidR="009757B3" w:rsidRPr="008A401A" w:rsidRDefault="009757B3" w:rsidP="006D67DD">
            <w:pPr>
              <w:spacing w:line="240" w:lineRule="auto"/>
              <w:jc w:val="center"/>
              <w:rPr>
                <w:rFonts w:eastAsia="等线" w:cs="Arial"/>
                <w:color w:val="000000"/>
                <w:szCs w:val="18"/>
              </w:rPr>
            </w:pPr>
            <w:r w:rsidRPr="00FD607A">
              <w:t>3%</w:t>
            </w:r>
          </w:p>
        </w:tc>
        <w:tc>
          <w:tcPr>
            <w:tcW w:w="1333" w:type="pct"/>
            <w:shd w:val="clear" w:color="auto" w:fill="FFFFFF" w:themeFill="background1"/>
            <w:hideMark/>
          </w:tcPr>
          <w:p w14:paraId="7CDD9679" w14:textId="7879AF03" w:rsidR="009757B3" w:rsidRPr="008A401A" w:rsidRDefault="009757B3" w:rsidP="006D67DD">
            <w:pPr>
              <w:spacing w:line="240" w:lineRule="auto"/>
              <w:jc w:val="center"/>
              <w:rPr>
                <w:rFonts w:eastAsia="等线" w:cs="Arial"/>
                <w:color w:val="000000"/>
                <w:szCs w:val="18"/>
              </w:rPr>
            </w:pPr>
            <w:r w:rsidRPr="00FD607A">
              <w:t>Stability concerns</w:t>
            </w:r>
          </w:p>
        </w:tc>
      </w:tr>
      <w:tr w:rsidR="00D54B28" w:rsidRPr="008A401A" w14:paraId="2968C6D6" w14:textId="77777777" w:rsidTr="00D54B28">
        <w:trPr>
          <w:trHeight w:val="20"/>
        </w:trPr>
        <w:tc>
          <w:tcPr>
            <w:tcW w:w="1194" w:type="pct"/>
            <w:shd w:val="clear" w:color="auto" w:fill="FFFFFF" w:themeFill="background1"/>
            <w:vAlign w:val="center"/>
            <w:hideMark/>
          </w:tcPr>
          <w:p w14:paraId="1532024D"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Reaction type</w:t>
            </w:r>
          </w:p>
        </w:tc>
        <w:tc>
          <w:tcPr>
            <w:tcW w:w="341" w:type="pct"/>
            <w:shd w:val="clear" w:color="auto" w:fill="FFFFFF" w:themeFill="background1"/>
            <w:hideMark/>
          </w:tcPr>
          <w:p w14:paraId="3A8F1246" w14:textId="6D42F78F" w:rsidR="009757B3" w:rsidRPr="008A401A" w:rsidRDefault="009757B3" w:rsidP="006D67DD">
            <w:pPr>
              <w:spacing w:line="240" w:lineRule="auto"/>
              <w:jc w:val="center"/>
              <w:rPr>
                <w:rFonts w:eastAsia="等线" w:cs="Arial"/>
                <w:color w:val="000000"/>
                <w:szCs w:val="18"/>
              </w:rPr>
            </w:pPr>
            <w:r w:rsidRPr="00FD607A">
              <w:t>7</w:t>
            </w:r>
          </w:p>
        </w:tc>
        <w:tc>
          <w:tcPr>
            <w:tcW w:w="1791" w:type="pct"/>
            <w:shd w:val="clear" w:color="auto" w:fill="FFFFFF" w:themeFill="background1"/>
            <w:hideMark/>
          </w:tcPr>
          <w:p w14:paraId="1DBCDA27" w14:textId="13E3656C" w:rsidR="009757B3" w:rsidRPr="008A401A" w:rsidRDefault="009757B3" w:rsidP="006D67DD">
            <w:pPr>
              <w:spacing w:line="240" w:lineRule="auto"/>
              <w:jc w:val="center"/>
              <w:rPr>
                <w:rFonts w:eastAsia="等线" w:cs="Arial"/>
                <w:color w:val="000000"/>
                <w:szCs w:val="18"/>
              </w:rPr>
            </w:pPr>
            <w:r w:rsidRPr="00FD607A">
              <w:t>Complex electrochemical reaction</w:t>
            </w:r>
          </w:p>
        </w:tc>
        <w:tc>
          <w:tcPr>
            <w:tcW w:w="341" w:type="pct"/>
            <w:shd w:val="clear" w:color="auto" w:fill="FFFFFF" w:themeFill="background1"/>
            <w:hideMark/>
          </w:tcPr>
          <w:p w14:paraId="7109D206" w14:textId="178167F9" w:rsidR="009757B3" w:rsidRPr="008A401A" w:rsidRDefault="009757B3" w:rsidP="006D67DD">
            <w:pPr>
              <w:spacing w:line="240" w:lineRule="auto"/>
              <w:jc w:val="center"/>
              <w:rPr>
                <w:rFonts w:eastAsia="等线" w:cs="Arial"/>
                <w:color w:val="000000"/>
                <w:szCs w:val="18"/>
              </w:rPr>
            </w:pPr>
            <w:r w:rsidRPr="00FD607A">
              <w:t>3%</w:t>
            </w:r>
          </w:p>
        </w:tc>
        <w:tc>
          <w:tcPr>
            <w:tcW w:w="1333" w:type="pct"/>
            <w:shd w:val="clear" w:color="auto" w:fill="FFFFFF" w:themeFill="background1"/>
            <w:hideMark/>
          </w:tcPr>
          <w:p w14:paraId="20CB1170" w14:textId="42FC0FC2" w:rsidR="009757B3" w:rsidRPr="008A401A" w:rsidRDefault="009757B3" w:rsidP="006D67DD">
            <w:pPr>
              <w:spacing w:line="240" w:lineRule="auto"/>
              <w:jc w:val="center"/>
              <w:rPr>
                <w:rFonts w:eastAsia="等线" w:cs="Arial"/>
                <w:color w:val="000000"/>
                <w:szCs w:val="18"/>
              </w:rPr>
            </w:pPr>
            <w:r w:rsidRPr="00FD607A">
              <w:t>Minimal fluidity impact</w:t>
            </w:r>
          </w:p>
        </w:tc>
      </w:tr>
      <w:tr w:rsidR="00D54B28" w:rsidRPr="008A401A" w14:paraId="76FF4123" w14:textId="77777777" w:rsidTr="00D54B28">
        <w:trPr>
          <w:trHeight w:val="20"/>
        </w:trPr>
        <w:tc>
          <w:tcPr>
            <w:tcW w:w="1194" w:type="pct"/>
            <w:tcBorders>
              <w:bottom w:val="single" w:sz="4" w:space="0" w:color="006600"/>
            </w:tcBorders>
            <w:shd w:val="clear" w:color="auto" w:fill="FFFFFF" w:themeFill="background1"/>
            <w:vAlign w:val="center"/>
            <w:hideMark/>
          </w:tcPr>
          <w:p w14:paraId="3B272D8E" w14:textId="77777777" w:rsidR="009757B3" w:rsidRPr="008A401A" w:rsidRDefault="009757B3" w:rsidP="006D67DD">
            <w:pPr>
              <w:spacing w:line="240" w:lineRule="auto"/>
              <w:jc w:val="center"/>
              <w:rPr>
                <w:rFonts w:eastAsia="等线" w:cs="Arial"/>
                <w:color w:val="000000"/>
                <w:szCs w:val="18"/>
              </w:rPr>
            </w:pPr>
            <w:r w:rsidRPr="008A401A">
              <w:rPr>
                <w:rFonts w:eastAsia="等线" w:cs="Arial"/>
                <w:color w:val="000000"/>
                <w:szCs w:val="18"/>
              </w:rPr>
              <w:t>Runaway reaction</w:t>
            </w:r>
          </w:p>
        </w:tc>
        <w:tc>
          <w:tcPr>
            <w:tcW w:w="341" w:type="pct"/>
            <w:tcBorders>
              <w:bottom w:val="single" w:sz="4" w:space="0" w:color="006600"/>
            </w:tcBorders>
            <w:shd w:val="clear" w:color="auto" w:fill="FFFFFF" w:themeFill="background1"/>
            <w:hideMark/>
          </w:tcPr>
          <w:p w14:paraId="690B69B7" w14:textId="1333CE25" w:rsidR="009757B3" w:rsidRPr="008A401A" w:rsidRDefault="009757B3" w:rsidP="006D67DD">
            <w:pPr>
              <w:spacing w:line="240" w:lineRule="auto"/>
              <w:jc w:val="center"/>
              <w:rPr>
                <w:rFonts w:eastAsia="等线" w:cs="Arial"/>
                <w:color w:val="000000"/>
                <w:szCs w:val="18"/>
              </w:rPr>
            </w:pPr>
            <w:r w:rsidRPr="00FD607A">
              <w:t>9</w:t>
            </w:r>
          </w:p>
        </w:tc>
        <w:tc>
          <w:tcPr>
            <w:tcW w:w="1791" w:type="pct"/>
            <w:tcBorders>
              <w:bottom w:val="single" w:sz="4" w:space="0" w:color="006600"/>
            </w:tcBorders>
            <w:shd w:val="clear" w:color="auto" w:fill="FFFFFF" w:themeFill="background1"/>
            <w:hideMark/>
          </w:tcPr>
          <w:p w14:paraId="75E3761B" w14:textId="29267FCC" w:rsidR="009757B3" w:rsidRPr="008A401A" w:rsidRDefault="009757B3" w:rsidP="006D67DD">
            <w:pPr>
              <w:spacing w:line="240" w:lineRule="auto"/>
              <w:jc w:val="center"/>
              <w:rPr>
                <w:rFonts w:eastAsia="等线" w:cs="Arial"/>
                <w:color w:val="000000"/>
                <w:szCs w:val="18"/>
              </w:rPr>
            </w:pPr>
            <w:r w:rsidRPr="00FD607A">
              <w:t>High uncontrolled reaction risk</w:t>
            </w:r>
          </w:p>
        </w:tc>
        <w:tc>
          <w:tcPr>
            <w:tcW w:w="341" w:type="pct"/>
            <w:tcBorders>
              <w:bottom w:val="single" w:sz="4" w:space="0" w:color="006600"/>
            </w:tcBorders>
            <w:shd w:val="clear" w:color="auto" w:fill="FFFFFF" w:themeFill="background1"/>
            <w:hideMark/>
          </w:tcPr>
          <w:p w14:paraId="3236E7D7" w14:textId="6554CEC9" w:rsidR="009757B3" w:rsidRPr="008A401A" w:rsidRDefault="009757B3" w:rsidP="006D67DD">
            <w:pPr>
              <w:spacing w:line="240" w:lineRule="auto"/>
              <w:jc w:val="center"/>
              <w:rPr>
                <w:rFonts w:eastAsia="等线" w:cs="Arial"/>
                <w:color w:val="000000"/>
                <w:szCs w:val="18"/>
              </w:rPr>
            </w:pPr>
            <w:r w:rsidRPr="00FD607A">
              <w:t>5%</w:t>
            </w:r>
          </w:p>
        </w:tc>
        <w:tc>
          <w:tcPr>
            <w:tcW w:w="1333" w:type="pct"/>
            <w:tcBorders>
              <w:bottom w:val="single" w:sz="4" w:space="0" w:color="006600"/>
            </w:tcBorders>
            <w:shd w:val="clear" w:color="auto" w:fill="FFFFFF" w:themeFill="background1"/>
            <w:hideMark/>
          </w:tcPr>
          <w:p w14:paraId="7F68EAA9" w14:textId="3DB20121" w:rsidR="009757B3" w:rsidRPr="008A401A" w:rsidRDefault="009757B3" w:rsidP="006D67DD">
            <w:pPr>
              <w:spacing w:line="240" w:lineRule="auto"/>
              <w:jc w:val="center"/>
              <w:rPr>
                <w:rFonts w:eastAsia="等线" w:cs="Arial"/>
                <w:color w:val="000000"/>
                <w:szCs w:val="18"/>
              </w:rPr>
            </w:pPr>
            <w:r w:rsidRPr="00FD607A">
              <w:t>Safety control crucial</w:t>
            </w:r>
          </w:p>
        </w:tc>
      </w:tr>
      <w:tr w:rsidR="009757B3" w:rsidRPr="008A401A" w14:paraId="6B9EAB41" w14:textId="77777777" w:rsidTr="003F2E4A">
        <w:trPr>
          <w:trHeight w:val="20"/>
        </w:trPr>
        <w:tc>
          <w:tcPr>
            <w:tcW w:w="5000" w:type="pct"/>
            <w:gridSpan w:val="5"/>
            <w:tcBorders>
              <w:top w:val="single" w:sz="4" w:space="0" w:color="006600"/>
              <w:bottom w:val="single" w:sz="4" w:space="0" w:color="006600"/>
            </w:tcBorders>
            <w:shd w:val="clear" w:color="auto" w:fill="FFFFFF" w:themeFill="background1"/>
            <w:vAlign w:val="center"/>
          </w:tcPr>
          <w:p w14:paraId="25CAAEBF" w14:textId="0E26A768" w:rsidR="009757B3" w:rsidRPr="00FD607A" w:rsidRDefault="009757B3" w:rsidP="00765843">
            <w:pPr>
              <w:spacing w:line="240" w:lineRule="auto"/>
              <w:jc w:val="center"/>
            </w:pPr>
            <w:r w:rsidRPr="008A401A">
              <w:rPr>
                <w:rFonts w:eastAsia="等线" w:cs="Arial"/>
                <w:color w:val="000000"/>
                <w:szCs w:val="18"/>
              </w:rPr>
              <w:t>Equipment</w:t>
            </w:r>
          </w:p>
        </w:tc>
      </w:tr>
      <w:tr w:rsidR="00D54B28" w:rsidRPr="008A401A" w14:paraId="68A4C53D" w14:textId="77777777" w:rsidTr="00D54B28">
        <w:trPr>
          <w:trHeight w:val="20"/>
        </w:trPr>
        <w:tc>
          <w:tcPr>
            <w:tcW w:w="1194" w:type="pct"/>
            <w:tcBorders>
              <w:top w:val="single" w:sz="4" w:space="0" w:color="006600"/>
            </w:tcBorders>
            <w:shd w:val="clear" w:color="auto" w:fill="FFFFFF" w:themeFill="background1"/>
            <w:vAlign w:val="center"/>
            <w:hideMark/>
          </w:tcPr>
          <w:p w14:paraId="07968AAC" w14:textId="77777777" w:rsidR="009757B3" w:rsidRPr="008A401A" w:rsidRDefault="009757B3" w:rsidP="00765843">
            <w:pPr>
              <w:spacing w:line="240" w:lineRule="auto"/>
              <w:jc w:val="center"/>
              <w:rPr>
                <w:rFonts w:eastAsia="等线" w:cs="Arial"/>
                <w:color w:val="000000"/>
                <w:szCs w:val="18"/>
              </w:rPr>
            </w:pPr>
            <w:r w:rsidRPr="008A401A">
              <w:rPr>
                <w:rFonts w:eastAsia="等线" w:cs="Arial"/>
                <w:color w:val="000000"/>
                <w:szCs w:val="18"/>
              </w:rPr>
              <w:t>OSBL</w:t>
            </w:r>
          </w:p>
        </w:tc>
        <w:tc>
          <w:tcPr>
            <w:tcW w:w="341" w:type="pct"/>
            <w:tcBorders>
              <w:top w:val="single" w:sz="4" w:space="0" w:color="006600"/>
            </w:tcBorders>
            <w:shd w:val="clear" w:color="auto" w:fill="FFFFFF" w:themeFill="background1"/>
            <w:hideMark/>
          </w:tcPr>
          <w:p w14:paraId="35529BE3" w14:textId="2FDD834C" w:rsidR="009757B3" w:rsidRPr="008A401A" w:rsidRDefault="009757B3" w:rsidP="00765843">
            <w:pPr>
              <w:spacing w:line="240" w:lineRule="auto"/>
              <w:jc w:val="center"/>
              <w:rPr>
                <w:rFonts w:eastAsia="等线" w:cs="Arial"/>
                <w:color w:val="000000"/>
                <w:szCs w:val="18"/>
              </w:rPr>
            </w:pPr>
            <w:r w:rsidRPr="00FD607A">
              <w:t>6</w:t>
            </w:r>
          </w:p>
        </w:tc>
        <w:tc>
          <w:tcPr>
            <w:tcW w:w="1791" w:type="pct"/>
            <w:tcBorders>
              <w:top w:val="single" w:sz="4" w:space="0" w:color="006600"/>
            </w:tcBorders>
            <w:shd w:val="clear" w:color="auto" w:fill="FFFFFF" w:themeFill="background1"/>
            <w:hideMark/>
          </w:tcPr>
          <w:p w14:paraId="3D331E2B" w14:textId="681B8BC2" w:rsidR="009757B3" w:rsidRPr="008A401A" w:rsidRDefault="009757B3" w:rsidP="00765843">
            <w:pPr>
              <w:spacing w:line="240" w:lineRule="auto"/>
              <w:jc w:val="center"/>
              <w:rPr>
                <w:rFonts w:eastAsia="等线" w:cs="Arial"/>
                <w:color w:val="000000"/>
                <w:szCs w:val="18"/>
              </w:rPr>
            </w:pPr>
            <w:r w:rsidRPr="00FD607A">
              <w:t>Explosion-proof devices needed</w:t>
            </w:r>
          </w:p>
        </w:tc>
        <w:tc>
          <w:tcPr>
            <w:tcW w:w="341" w:type="pct"/>
            <w:tcBorders>
              <w:top w:val="single" w:sz="4" w:space="0" w:color="006600"/>
            </w:tcBorders>
            <w:shd w:val="clear" w:color="auto" w:fill="FFFFFF" w:themeFill="background1"/>
            <w:hideMark/>
          </w:tcPr>
          <w:p w14:paraId="6D193521" w14:textId="7C1C02C4" w:rsidR="009757B3" w:rsidRPr="008A401A" w:rsidRDefault="009757B3" w:rsidP="00765843">
            <w:pPr>
              <w:spacing w:line="240" w:lineRule="auto"/>
              <w:jc w:val="center"/>
              <w:rPr>
                <w:rFonts w:eastAsia="等线" w:cs="Arial"/>
                <w:color w:val="000000"/>
                <w:szCs w:val="18"/>
              </w:rPr>
            </w:pPr>
            <w:r w:rsidRPr="00FD607A">
              <w:t>3%</w:t>
            </w:r>
          </w:p>
        </w:tc>
        <w:tc>
          <w:tcPr>
            <w:tcW w:w="1333" w:type="pct"/>
            <w:tcBorders>
              <w:top w:val="single" w:sz="4" w:space="0" w:color="006600"/>
            </w:tcBorders>
            <w:shd w:val="clear" w:color="auto" w:fill="FFFFFF" w:themeFill="background1"/>
            <w:hideMark/>
          </w:tcPr>
          <w:p w14:paraId="7B182733" w14:textId="5EBC976D" w:rsidR="009757B3" w:rsidRPr="008A401A" w:rsidRDefault="009757B3" w:rsidP="00765843">
            <w:pPr>
              <w:spacing w:line="240" w:lineRule="auto"/>
              <w:jc w:val="center"/>
              <w:rPr>
                <w:rFonts w:eastAsia="等线" w:cs="Arial"/>
                <w:color w:val="000000"/>
                <w:szCs w:val="18"/>
              </w:rPr>
            </w:pPr>
            <w:r w:rsidRPr="00FD607A">
              <w:t>Stability impact</w:t>
            </w:r>
          </w:p>
        </w:tc>
      </w:tr>
      <w:tr w:rsidR="00D54B28" w:rsidRPr="008A401A" w14:paraId="72A764EF" w14:textId="77777777" w:rsidTr="00D54B28">
        <w:trPr>
          <w:trHeight w:val="20"/>
        </w:trPr>
        <w:tc>
          <w:tcPr>
            <w:tcW w:w="1194" w:type="pct"/>
            <w:shd w:val="clear" w:color="auto" w:fill="FFFFFF" w:themeFill="background1"/>
            <w:vAlign w:val="center"/>
            <w:hideMark/>
          </w:tcPr>
          <w:p w14:paraId="019EACE1" w14:textId="77777777" w:rsidR="009757B3" w:rsidRPr="008A401A" w:rsidRDefault="009757B3" w:rsidP="00765843">
            <w:pPr>
              <w:spacing w:line="240" w:lineRule="auto"/>
              <w:jc w:val="center"/>
              <w:rPr>
                <w:rFonts w:eastAsia="等线" w:cs="Arial"/>
                <w:color w:val="000000"/>
                <w:szCs w:val="18"/>
              </w:rPr>
            </w:pPr>
            <w:r w:rsidRPr="008A401A">
              <w:rPr>
                <w:rFonts w:eastAsia="等线" w:cs="Arial"/>
                <w:color w:val="000000"/>
                <w:szCs w:val="18"/>
              </w:rPr>
              <w:t>ISBL</w:t>
            </w:r>
          </w:p>
        </w:tc>
        <w:tc>
          <w:tcPr>
            <w:tcW w:w="341" w:type="pct"/>
            <w:shd w:val="clear" w:color="auto" w:fill="FFFFFF" w:themeFill="background1"/>
            <w:hideMark/>
          </w:tcPr>
          <w:p w14:paraId="3F5AEFC2" w14:textId="13333A5A" w:rsidR="009757B3" w:rsidRPr="008A401A" w:rsidRDefault="009757B3" w:rsidP="00765843">
            <w:pPr>
              <w:spacing w:line="240" w:lineRule="auto"/>
              <w:jc w:val="center"/>
              <w:rPr>
                <w:rFonts w:eastAsia="等线" w:cs="Arial"/>
                <w:color w:val="000000"/>
                <w:szCs w:val="18"/>
              </w:rPr>
            </w:pPr>
            <w:r w:rsidRPr="00FD607A">
              <w:t>7</w:t>
            </w:r>
          </w:p>
        </w:tc>
        <w:tc>
          <w:tcPr>
            <w:tcW w:w="1791" w:type="pct"/>
            <w:shd w:val="clear" w:color="auto" w:fill="FFFFFF" w:themeFill="background1"/>
            <w:hideMark/>
          </w:tcPr>
          <w:p w14:paraId="1EACABEA" w14:textId="003D551F" w:rsidR="009757B3" w:rsidRPr="008A401A" w:rsidRDefault="009757B3" w:rsidP="00765843">
            <w:pPr>
              <w:spacing w:line="240" w:lineRule="auto"/>
              <w:jc w:val="center"/>
              <w:rPr>
                <w:rFonts w:eastAsia="等线" w:cs="Arial"/>
                <w:color w:val="000000"/>
                <w:szCs w:val="18"/>
              </w:rPr>
            </w:pPr>
            <w:r w:rsidRPr="00FD607A">
              <w:t>Large-scale equipment</w:t>
            </w:r>
          </w:p>
        </w:tc>
        <w:tc>
          <w:tcPr>
            <w:tcW w:w="341" w:type="pct"/>
            <w:shd w:val="clear" w:color="auto" w:fill="FFFFFF" w:themeFill="background1"/>
            <w:hideMark/>
          </w:tcPr>
          <w:p w14:paraId="614BE50E" w14:textId="63809B16" w:rsidR="009757B3" w:rsidRPr="008A401A" w:rsidRDefault="009757B3" w:rsidP="00765843">
            <w:pPr>
              <w:spacing w:line="240" w:lineRule="auto"/>
              <w:jc w:val="center"/>
              <w:rPr>
                <w:rFonts w:eastAsia="等线" w:cs="Arial"/>
                <w:color w:val="000000"/>
                <w:szCs w:val="18"/>
              </w:rPr>
            </w:pPr>
            <w:r w:rsidRPr="00FD607A">
              <w:t>3%</w:t>
            </w:r>
          </w:p>
        </w:tc>
        <w:tc>
          <w:tcPr>
            <w:tcW w:w="1333" w:type="pct"/>
            <w:shd w:val="clear" w:color="auto" w:fill="FFFFFF" w:themeFill="background1"/>
            <w:hideMark/>
          </w:tcPr>
          <w:p w14:paraId="379F3B01" w14:textId="0F3E268B" w:rsidR="009757B3" w:rsidRPr="008A401A" w:rsidRDefault="009757B3" w:rsidP="00765843">
            <w:pPr>
              <w:spacing w:line="240" w:lineRule="auto"/>
              <w:jc w:val="center"/>
              <w:rPr>
                <w:rFonts w:eastAsia="等线" w:cs="Arial"/>
                <w:color w:val="000000"/>
                <w:szCs w:val="18"/>
              </w:rPr>
            </w:pPr>
            <w:r w:rsidRPr="00FD607A">
              <w:t>Temp control essential</w:t>
            </w:r>
          </w:p>
        </w:tc>
      </w:tr>
      <w:tr w:rsidR="00D54B28" w:rsidRPr="008A401A" w14:paraId="7800111C" w14:textId="77777777" w:rsidTr="00D54B28">
        <w:trPr>
          <w:trHeight w:val="20"/>
        </w:trPr>
        <w:tc>
          <w:tcPr>
            <w:tcW w:w="1194" w:type="pct"/>
            <w:shd w:val="clear" w:color="auto" w:fill="FFFFFF" w:themeFill="background1"/>
            <w:vAlign w:val="center"/>
            <w:hideMark/>
          </w:tcPr>
          <w:p w14:paraId="708195C1" w14:textId="77777777" w:rsidR="009757B3" w:rsidRPr="008A401A" w:rsidRDefault="009757B3" w:rsidP="00765843">
            <w:pPr>
              <w:spacing w:line="240" w:lineRule="auto"/>
              <w:jc w:val="center"/>
              <w:rPr>
                <w:rFonts w:eastAsia="等线" w:cs="Arial"/>
                <w:color w:val="000000"/>
                <w:szCs w:val="18"/>
              </w:rPr>
            </w:pPr>
            <w:r w:rsidRPr="008A401A">
              <w:rPr>
                <w:rFonts w:eastAsia="等线" w:cs="Arial"/>
                <w:color w:val="000000"/>
                <w:szCs w:val="18"/>
              </w:rPr>
              <w:t>Structure</w:t>
            </w:r>
          </w:p>
        </w:tc>
        <w:tc>
          <w:tcPr>
            <w:tcW w:w="341" w:type="pct"/>
            <w:shd w:val="clear" w:color="auto" w:fill="FFFFFF" w:themeFill="background1"/>
            <w:hideMark/>
          </w:tcPr>
          <w:p w14:paraId="365AFBB5" w14:textId="24132554" w:rsidR="009757B3" w:rsidRPr="008A401A" w:rsidRDefault="009757B3" w:rsidP="00765843">
            <w:pPr>
              <w:spacing w:line="240" w:lineRule="auto"/>
              <w:jc w:val="center"/>
              <w:rPr>
                <w:rFonts w:eastAsia="等线" w:cs="Arial"/>
                <w:color w:val="000000"/>
                <w:szCs w:val="18"/>
              </w:rPr>
            </w:pPr>
            <w:r w:rsidRPr="00FD607A">
              <w:t>7</w:t>
            </w:r>
          </w:p>
        </w:tc>
        <w:tc>
          <w:tcPr>
            <w:tcW w:w="1791" w:type="pct"/>
            <w:shd w:val="clear" w:color="auto" w:fill="FFFFFF" w:themeFill="background1"/>
            <w:hideMark/>
          </w:tcPr>
          <w:p w14:paraId="5B772C7D" w14:textId="49401E04" w:rsidR="009757B3" w:rsidRPr="008A401A" w:rsidRDefault="009757B3" w:rsidP="00765843">
            <w:pPr>
              <w:spacing w:line="240" w:lineRule="auto"/>
              <w:jc w:val="center"/>
              <w:rPr>
                <w:rFonts w:eastAsia="等线" w:cs="Arial"/>
                <w:color w:val="000000"/>
                <w:szCs w:val="18"/>
              </w:rPr>
            </w:pPr>
            <w:r w:rsidRPr="00FD607A">
              <w:t>Complex equipment maintenance</w:t>
            </w:r>
          </w:p>
        </w:tc>
        <w:tc>
          <w:tcPr>
            <w:tcW w:w="341" w:type="pct"/>
            <w:shd w:val="clear" w:color="auto" w:fill="FFFFFF" w:themeFill="background1"/>
            <w:hideMark/>
          </w:tcPr>
          <w:p w14:paraId="05F29A2B" w14:textId="2AA6F71E" w:rsidR="009757B3" w:rsidRPr="008A401A" w:rsidRDefault="009757B3" w:rsidP="00765843">
            <w:pPr>
              <w:spacing w:line="240" w:lineRule="auto"/>
              <w:jc w:val="center"/>
              <w:rPr>
                <w:rFonts w:eastAsia="等线" w:cs="Arial"/>
                <w:color w:val="000000"/>
                <w:szCs w:val="18"/>
              </w:rPr>
            </w:pPr>
            <w:r w:rsidRPr="00FD607A">
              <w:t>4%</w:t>
            </w:r>
          </w:p>
        </w:tc>
        <w:tc>
          <w:tcPr>
            <w:tcW w:w="1333" w:type="pct"/>
            <w:shd w:val="clear" w:color="auto" w:fill="FFFFFF" w:themeFill="background1"/>
            <w:hideMark/>
          </w:tcPr>
          <w:p w14:paraId="47112688" w14:textId="0A419624" w:rsidR="009757B3" w:rsidRPr="008A401A" w:rsidRDefault="009757B3" w:rsidP="00765843">
            <w:pPr>
              <w:spacing w:line="240" w:lineRule="auto"/>
              <w:jc w:val="center"/>
              <w:rPr>
                <w:rFonts w:eastAsia="等线" w:cs="Arial"/>
                <w:color w:val="000000"/>
                <w:szCs w:val="18"/>
              </w:rPr>
            </w:pPr>
            <w:r w:rsidRPr="00FD607A">
              <w:t>Side reaction heat</w:t>
            </w:r>
          </w:p>
        </w:tc>
      </w:tr>
      <w:tr w:rsidR="00D54B28" w:rsidRPr="008A401A" w14:paraId="03BDF0A2" w14:textId="77777777" w:rsidTr="00D54B28">
        <w:trPr>
          <w:trHeight w:val="20"/>
        </w:trPr>
        <w:tc>
          <w:tcPr>
            <w:tcW w:w="1194" w:type="pct"/>
            <w:shd w:val="clear" w:color="auto" w:fill="FFFFFF" w:themeFill="background1"/>
            <w:vAlign w:val="center"/>
            <w:hideMark/>
          </w:tcPr>
          <w:p w14:paraId="7091C0EE" w14:textId="77777777" w:rsidR="009757B3" w:rsidRPr="008A401A" w:rsidRDefault="009757B3" w:rsidP="00765843">
            <w:pPr>
              <w:spacing w:line="240" w:lineRule="auto"/>
              <w:jc w:val="center"/>
              <w:rPr>
                <w:rFonts w:eastAsia="等线" w:cs="Arial"/>
                <w:color w:val="000000"/>
                <w:szCs w:val="18"/>
              </w:rPr>
            </w:pPr>
            <w:r w:rsidRPr="008A401A">
              <w:rPr>
                <w:rFonts w:eastAsia="等线" w:cs="Arial"/>
                <w:color w:val="000000"/>
                <w:szCs w:val="18"/>
              </w:rPr>
              <w:t>Layout</w:t>
            </w:r>
          </w:p>
        </w:tc>
        <w:tc>
          <w:tcPr>
            <w:tcW w:w="341" w:type="pct"/>
            <w:shd w:val="clear" w:color="auto" w:fill="FFFFFF" w:themeFill="background1"/>
            <w:hideMark/>
          </w:tcPr>
          <w:p w14:paraId="22A366FE" w14:textId="06A3932E" w:rsidR="009757B3" w:rsidRPr="008A401A" w:rsidRDefault="009757B3" w:rsidP="00765843">
            <w:pPr>
              <w:spacing w:line="240" w:lineRule="auto"/>
              <w:jc w:val="center"/>
              <w:rPr>
                <w:rFonts w:eastAsia="等线" w:cs="Arial"/>
                <w:color w:val="000000"/>
                <w:szCs w:val="18"/>
              </w:rPr>
            </w:pPr>
            <w:r w:rsidRPr="00FD607A">
              <w:t>6</w:t>
            </w:r>
          </w:p>
        </w:tc>
        <w:tc>
          <w:tcPr>
            <w:tcW w:w="1791" w:type="pct"/>
            <w:shd w:val="clear" w:color="auto" w:fill="FFFFFF" w:themeFill="background1"/>
            <w:hideMark/>
          </w:tcPr>
          <w:p w14:paraId="71B2F3EA" w14:textId="00D184F3" w:rsidR="009757B3" w:rsidRPr="008A401A" w:rsidRDefault="009757B3" w:rsidP="00765843">
            <w:pPr>
              <w:spacing w:line="240" w:lineRule="auto"/>
              <w:jc w:val="center"/>
              <w:rPr>
                <w:rFonts w:eastAsia="等线" w:cs="Arial"/>
                <w:color w:val="000000"/>
                <w:szCs w:val="18"/>
              </w:rPr>
            </w:pPr>
            <w:r w:rsidRPr="00FD607A">
              <w:t>Strict arrangement needed</w:t>
            </w:r>
          </w:p>
        </w:tc>
        <w:tc>
          <w:tcPr>
            <w:tcW w:w="341" w:type="pct"/>
            <w:shd w:val="clear" w:color="auto" w:fill="FFFFFF" w:themeFill="background1"/>
            <w:hideMark/>
          </w:tcPr>
          <w:p w14:paraId="79444972" w14:textId="1563895E" w:rsidR="009757B3" w:rsidRPr="008A401A" w:rsidRDefault="009757B3" w:rsidP="00765843">
            <w:pPr>
              <w:spacing w:line="240" w:lineRule="auto"/>
              <w:jc w:val="center"/>
              <w:rPr>
                <w:rFonts w:eastAsia="等线" w:cs="Arial"/>
                <w:color w:val="000000"/>
                <w:szCs w:val="18"/>
              </w:rPr>
            </w:pPr>
            <w:r w:rsidRPr="00FD607A">
              <w:t>3%</w:t>
            </w:r>
          </w:p>
        </w:tc>
        <w:tc>
          <w:tcPr>
            <w:tcW w:w="1333" w:type="pct"/>
            <w:shd w:val="clear" w:color="auto" w:fill="FFFFFF" w:themeFill="background1"/>
            <w:hideMark/>
          </w:tcPr>
          <w:p w14:paraId="4BC29AEA" w14:textId="6C9DF3BE" w:rsidR="009757B3" w:rsidRPr="008A401A" w:rsidRDefault="009757B3" w:rsidP="00765843">
            <w:pPr>
              <w:spacing w:line="240" w:lineRule="auto"/>
              <w:jc w:val="center"/>
              <w:rPr>
                <w:rFonts w:eastAsia="等线" w:cs="Arial"/>
                <w:color w:val="000000"/>
                <w:szCs w:val="18"/>
              </w:rPr>
            </w:pPr>
            <w:r w:rsidRPr="00FD607A">
              <w:t>Complexity impact</w:t>
            </w:r>
          </w:p>
        </w:tc>
      </w:tr>
      <w:tr w:rsidR="00D54B28" w:rsidRPr="008A401A" w14:paraId="555495E8" w14:textId="77777777" w:rsidTr="00D54B28">
        <w:trPr>
          <w:trHeight w:val="20"/>
        </w:trPr>
        <w:tc>
          <w:tcPr>
            <w:tcW w:w="1194" w:type="pct"/>
            <w:shd w:val="clear" w:color="auto" w:fill="FFFFFF" w:themeFill="background1"/>
            <w:vAlign w:val="center"/>
            <w:hideMark/>
          </w:tcPr>
          <w:p w14:paraId="2D775B64" w14:textId="77777777" w:rsidR="009757B3" w:rsidRPr="008A401A" w:rsidRDefault="009757B3" w:rsidP="00765843">
            <w:pPr>
              <w:spacing w:line="240" w:lineRule="auto"/>
              <w:jc w:val="center"/>
              <w:rPr>
                <w:rFonts w:eastAsia="等线" w:cs="Arial"/>
                <w:color w:val="000000"/>
                <w:szCs w:val="18"/>
              </w:rPr>
            </w:pPr>
            <w:r w:rsidRPr="008A401A">
              <w:rPr>
                <w:rFonts w:eastAsia="等线" w:cs="Arial"/>
                <w:color w:val="000000"/>
                <w:szCs w:val="18"/>
              </w:rPr>
              <w:t>Complexity</w:t>
            </w:r>
          </w:p>
        </w:tc>
        <w:tc>
          <w:tcPr>
            <w:tcW w:w="341" w:type="pct"/>
            <w:shd w:val="clear" w:color="auto" w:fill="FFFFFF" w:themeFill="background1"/>
            <w:hideMark/>
          </w:tcPr>
          <w:p w14:paraId="56F9C95E" w14:textId="51C81B74" w:rsidR="009757B3" w:rsidRPr="008A401A" w:rsidRDefault="009757B3" w:rsidP="00765843">
            <w:pPr>
              <w:spacing w:line="240" w:lineRule="auto"/>
              <w:jc w:val="center"/>
              <w:rPr>
                <w:rFonts w:eastAsia="等线" w:cs="Arial"/>
                <w:color w:val="000000"/>
                <w:szCs w:val="18"/>
              </w:rPr>
            </w:pPr>
            <w:r w:rsidRPr="00FD607A">
              <w:t>8</w:t>
            </w:r>
          </w:p>
        </w:tc>
        <w:tc>
          <w:tcPr>
            <w:tcW w:w="1791" w:type="pct"/>
            <w:shd w:val="clear" w:color="auto" w:fill="FFFFFF" w:themeFill="background1"/>
            <w:hideMark/>
          </w:tcPr>
          <w:p w14:paraId="47AF0446" w14:textId="0B4F2D17" w:rsidR="009757B3" w:rsidRPr="008A401A" w:rsidRDefault="009757B3" w:rsidP="00765843">
            <w:pPr>
              <w:spacing w:line="240" w:lineRule="auto"/>
              <w:jc w:val="center"/>
              <w:rPr>
                <w:rFonts w:eastAsia="等线" w:cs="Arial"/>
                <w:color w:val="000000"/>
                <w:szCs w:val="18"/>
              </w:rPr>
            </w:pPr>
            <w:r w:rsidRPr="00FD607A">
              <w:t>High operational complexity</w:t>
            </w:r>
          </w:p>
        </w:tc>
        <w:tc>
          <w:tcPr>
            <w:tcW w:w="341" w:type="pct"/>
            <w:shd w:val="clear" w:color="auto" w:fill="FFFFFF" w:themeFill="background1"/>
            <w:hideMark/>
          </w:tcPr>
          <w:p w14:paraId="2043C534" w14:textId="40E260E9" w:rsidR="009757B3" w:rsidRPr="008A401A" w:rsidRDefault="009757B3" w:rsidP="00765843">
            <w:pPr>
              <w:spacing w:line="240" w:lineRule="auto"/>
              <w:jc w:val="center"/>
              <w:rPr>
                <w:rFonts w:eastAsia="等线" w:cs="Arial"/>
                <w:color w:val="000000"/>
                <w:szCs w:val="18"/>
              </w:rPr>
            </w:pPr>
            <w:r w:rsidRPr="00FD607A">
              <w:t>4%</w:t>
            </w:r>
          </w:p>
        </w:tc>
        <w:tc>
          <w:tcPr>
            <w:tcW w:w="1333" w:type="pct"/>
            <w:shd w:val="clear" w:color="auto" w:fill="FFFFFF" w:themeFill="background1"/>
            <w:hideMark/>
          </w:tcPr>
          <w:p w14:paraId="62F11236" w14:textId="43129308" w:rsidR="009757B3" w:rsidRPr="008A401A" w:rsidRDefault="009757B3" w:rsidP="00765843">
            <w:pPr>
              <w:spacing w:line="240" w:lineRule="auto"/>
              <w:jc w:val="center"/>
              <w:rPr>
                <w:rFonts w:eastAsia="等线" w:cs="Arial"/>
                <w:color w:val="000000"/>
                <w:szCs w:val="18"/>
              </w:rPr>
            </w:pPr>
            <w:r w:rsidRPr="00FD607A">
              <w:t>Uncontrolled reaction risk</w:t>
            </w:r>
          </w:p>
        </w:tc>
      </w:tr>
      <w:tr w:rsidR="00D54B28" w:rsidRPr="008A401A" w14:paraId="6414DADB" w14:textId="77777777" w:rsidTr="00D54B28">
        <w:trPr>
          <w:trHeight w:val="20"/>
        </w:trPr>
        <w:tc>
          <w:tcPr>
            <w:tcW w:w="1194" w:type="pct"/>
            <w:shd w:val="clear" w:color="auto" w:fill="FFFFFF" w:themeFill="background1"/>
            <w:vAlign w:val="center"/>
            <w:hideMark/>
          </w:tcPr>
          <w:p w14:paraId="28B1E025" w14:textId="77777777" w:rsidR="009757B3" w:rsidRPr="008A401A" w:rsidRDefault="009757B3" w:rsidP="00765843">
            <w:pPr>
              <w:spacing w:line="240" w:lineRule="auto"/>
              <w:jc w:val="center"/>
              <w:rPr>
                <w:rFonts w:eastAsia="等线" w:cs="Arial"/>
                <w:color w:val="000000"/>
                <w:szCs w:val="18"/>
              </w:rPr>
            </w:pPr>
            <w:r w:rsidRPr="008A401A">
              <w:rPr>
                <w:rFonts w:eastAsia="等线" w:cs="Arial"/>
                <w:color w:val="000000"/>
                <w:szCs w:val="18"/>
              </w:rPr>
              <w:t>Type of equipment</w:t>
            </w:r>
          </w:p>
        </w:tc>
        <w:tc>
          <w:tcPr>
            <w:tcW w:w="341" w:type="pct"/>
            <w:shd w:val="clear" w:color="auto" w:fill="FFFFFF" w:themeFill="background1"/>
            <w:hideMark/>
          </w:tcPr>
          <w:p w14:paraId="4AF0A476" w14:textId="13366BE8" w:rsidR="009757B3" w:rsidRPr="008A401A" w:rsidRDefault="009757B3" w:rsidP="00765843">
            <w:pPr>
              <w:spacing w:line="240" w:lineRule="auto"/>
              <w:jc w:val="center"/>
              <w:rPr>
                <w:rFonts w:eastAsia="等线" w:cs="Arial"/>
                <w:color w:val="000000"/>
                <w:szCs w:val="18"/>
              </w:rPr>
            </w:pPr>
            <w:r w:rsidRPr="00FD607A">
              <w:t>6</w:t>
            </w:r>
          </w:p>
        </w:tc>
        <w:tc>
          <w:tcPr>
            <w:tcW w:w="1791" w:type="pct"/>
            <w:shd w:val="clear" w:color="auto" w:fill="FFFFFF" w:themeFill="background1"/>
            <w:hideMark/>
          </w:tcPr>
          <w:p w14:paraId="0CE2257A" w14:textId="1E2A2965" w:rsidR="009757B3" w:rsidRPr="008A401A" w:rsidRDefault="009757B3" w:rsidP="00765843">
            <w:pPr>
              <w:spacing w:line="240" w:lineRule="auto"/>
              <w:jc w:val="center"/>
              <w:rPr>
                <w:rFonts w:eastAsia="等线" w:cs="Arial"/>
                <w:color w:val="000000"/>
                <w:szCs w:val="18"/>
              </w:rPr>
            </w:pPr>
            <w:r w:rsidRPr="00FD607A">
              <w:t>Various equipment involved</w:t>
            </w:r>
          </w:p>
        </w:tc>
        <w:tc>
          <w:tcPr>
            <w:tcW w:w="341" w:type="pct"/>
            <w:shd w:val="clear" w:color="auto" w:fill="FFFFFF" w:themeFill="background1"/>
            <w:hideMark/>
          </w:tcPr>
          <w:p w14:paraId="5AC46E4B" w14:textId="7C58F208" w:rsidR="009757B3" w:rsidRPr="008A401A" w:rsidRDefault="009757B3" w:rsidP="00765843">
            <w:pPr>
              <w:spacing w:line="240" w:lineRule="auto"/>
              <w:jc w:val="center"/>
              <w:rPr>
                <w:rFonts w:eastAsia="等线" w:cs="Arial"/>
                <w:color w:val="000000"/>
                <w:szCs w:val="18"/>
              </w:rPr>
            </w:pPr>
            <w:r w:rsidRPr="00FD607A">
              <w:t>3%</w:t>
            </w:r>
          </w:p>
        </w:tc>
        <w:tc>
          <w:tcPr>
            <w:tcW w:w="1333" w:type="pct"/>
            <w:shd w:val="clear" w:color="auto" w:fill="FFFFFF" w:themeFill="background1"/>
            <w:hideMark/>
          </w:tcPr>
          <w:p w14:paraId="3CC81D32" w14:textId="63FE1BEB" w:rsidR="009757B3" w:rsidRPr="008A401A" w:rsidRDefault="009757B3" w:rsidP="00765843">
            <w:pPr>
              <w:spacing w:line="240" w:lineRule="auto"/>
              <w:jc w:val="center"/>
              <w:rPr>
                <w:rFonts w:eastAsia="等线" w:cs="Arial"/>
                <w:color w:val="000000"/>
                <w:szCs w:val="18"/>
              </w:rPr>
            </w:pPr>
            <w:r w:rsidRPr="00FD607A">
              <w:t>Control ease</w:t>
            </w:r>
          </w:p>
        </w:tc>
      </w:tr>
      <w:tr w:rsidR="00D54B28" w:rsidRPr="008A401A" w14:paraId="1F908DCC" w14:textId="77777777" w:rsidTr="00D54B28">
        <w:trPr>
          <w:trHeight w:val="20"/>
        </w:trPr>
        <w:tc>
          <w:tcPr>
            <w:tcW w:w="1194" w:type="pct"/>
            <w:shd w:val="clear" w:color="auto" w:fill="FFFFFF" w:themeFill="background1"/>
            <w:vAlign w:val="center"/>
            <w:hideMark/>
          </w:tcPr>
          <w:p w14:paraId="6688089F" w14:textId="77777777" w:rsidR="009757B3" w:rsidRPr="008A401A" w:rsidRDefault="009757B3" w:rsidP="00765843">
            <w:pPr>
              <w:spacing w:line="240" w:lineRule="auto"/>
              <w:jc w:val="center"/>
              <w:rPr>
                <w:rFonts w:eastAsia="等线" w:cs="Arial"/>
                <w:color w:val="000000"/>
                <w:szCs w:val="18"/>
              </w:rPr>
            </w:pPr>
            <w:r w:rsidRPr="008A401A">
              <w:rPr>
                <w:rFonts w:eastAsia="等线" w:cs="Arial"/>
                <w:color w:val="000000"/>
                <w:szCs w:val="18"/>
              </w:rPr>
              <w:t>Safety devices</w:t>
            </w:r>
          </w:p>
        </w:tc>
        <w:tc>
          <w:tcPr>
            <w:tcW w:w="341" w:type="pct"/>
            <w:shd w:val="clear" w:color="auto" w:fill="FFFFFF" w:themeFill="background1"/>
            <w:hideMark/>
          </w:tcPr>
          <w:p w14:paraId="0BBFB7FF" w14:textId="63269F63" w:rsidR="009757B3" w:rsidRPr="008A401A" w:rsidRDefault="009757B3" w:rsidP="00765843">
            <w:pPr>
              <w:spacing w:line="240" w:lineRule="auto"/>
              <w:jc w:val="center"/>
              <w:rPr>
                <w:rFonts w:eastAsia="等线" w:cs="Arial"/>
                <w:color w:val="000000"/>
                <w:szCs w:val="18"/>
              </w:rPr>
            </w:pPr>
            <w:r w:rsidRPr="00FD607A">
              <w:t>7</w:t>
            </w:r>
          </w:p>
        </w:tc>
        <w:tc>
          <w:tcPr>
            <w:tcW w:w="1791" w:type="pct"/>
            <w:shd w:val="clear" w:color="auto" w:fill="FFFFFF" w:themeFill="background1"/>
            <w:hideMark/>
          </w:tcPr>
          <w:p w14:paraId="55026B41" w14:textId="0EF84E5B" w:rsidR="009757B3" w:rsidRPr="008A401A" w:rsidRDefault="009757B3" w:rsidP="00765843">
            <w:pPr>
              <w:spacing w:line="240" w:lineRule="auto"/>
              <w:jc w:val="center"/>
              <w:rPr>
                <w:rFonts w:eastAsia="等线" w:cs="Arial"/>
                <w:color w:val="000000"/>
                <w:szCs w:val="18"/>
              </w:rPr>
            </w:pPr>
            <w:r w:rsidRPr="00FD607A">
              <w:t>Explosion-proof equipment required</w:t>
            </w:r>
          </w:p>
        </w:tc>
        <w:tc>
          <w:tcPr>
            <w:tcW w:w="341" w:type="pct"/>
            <w:shd w:val="clear" w:color="auto" w:fill="FFFFFF" w:themeFill="background1"/>
            <w:hideMark/>
          </w:tcPr>
          <w:p w14:paraId="58D9909A" w14:textId="2060DCB0" w:rsidR="009757B3" w:rsidRPr="008A401A" w:rsidRDefault="009757B3" w:rsidP="00765843">
            <w:pPr>
              <w:spacing w:line="240" w:lineRule="auto"/>
              <w:jc w:val="center"/>
              <w:rPr>
                <w:rFonts w:eastAsia="等线" w:cs="Arial"/>
                <w:color w:val="000000"/>
                <w:szCs w:val="18"/>
              </w:rPr>
            </w:pPr>
            <w:r w:rsidRPr="00FD607A">
              <w:t>3%</w:t>
            </w:r>
          </w:p>
        </w:tc>
        <w:tc>
          <w:tcPr>
            <w:tcW w:w="1333" w:type="pct"/>
            <w:shd w:val="clear" w:color="auto" w:fill="FFFFFF" w:themeFill="background1"/>
            <w:hideMark/>
          </w:tcPr>
          <w:p w14:paraId="2D8D44AE" w14:textId="579F16EB" w:rsidR="009757B3" w:rsidRPr="008A401A" w:rsidRDefault="009757B3" w:rsidP="00765843">
            <w:pPr>
              <w:spacing w:line="240" w:lineRule="auto"/>
              <w:jc w:val="center"/>
              <w:rPr>
                <w:rFonts w:eastAsia="等线" w:cs="Arial"/>
                <w:color w:val="000000"/>
                <w:szCs w:val="18"/>
              </w:rPr>
            </w:pPr>
            <w:r w:rsidRPr="00FD607A">
              <w:t>Layout influence</w:t>
            </w:r>
          </w:p>
        </w:tc>
      </w:tr>
      <w:tr w:rsidR="00D54B28" w:rsidRPr="008A401A" w14:paraId="2FD0A104" w14:textId="77777777" w:rsidTr="00D54B28">
        <w:trPr>
          <w:trHeight w:val="20"/>
        </w:trPr>
        <w:tc>
          <w:tcPr>
            <w:tcW w:w="1194" w:type="pct"/>
            <w:tcBorders>
              <w:bottom w:val="single" w:sz="4" w:space="0" w:color="006600"/>
            </w:tcBorders>
            <w:shd w:val="clear" w:color="auto" w:fill="FFFFFF" w:themeFill="background1"/>
            <w:vAlign w:val="center"/>
            <w:hideMark/>
          </w:tcPr>
          <w:p w14:paraId="1A4C4B2F" w14:textId="77777777" w:rsidR="009757B3" w:rsidRPr="008A401A" w:rsidRDefault="009757B3" w:rsidP="00765843">
            <w:pPr>
              <w:spacing w:line="240" w:lineRule="auto"/>
              <w:jc w:val="center"/>
              <w:rPr>
                <w:rFonts w:eastAsia="等线" w:cs="Arial"/>
                <w:color w:val="000000"/>
                <w:szCs w:val="18"/>
              </w:rPr>
            </w:pPr>
            <w:r w:rsidRPr="008A401A">
              <w:rPr>
                <w:rFonts w:eastAsia="等线" w:cs="Arial"/>
                <w:color w:val="000000"/>
                <w:szCs w:val="18"/>
              </w:rPr>
              <w:t>Emission rate of equipment</w:t>
            </w:r>
          </w:p>
        </w:tc>
        <w:tc>
          <w:tcPr>
            <w:tcW w:w="341" w:type="pct"/>
            <w:tcBorders>
              <w:bottom w:val="single" w:sz="4" w:space="0" w:color="006600"/>
            </w:tcBorders>
            <w:shd w:val="clear" w:color="auto" w:fill="FFFFFF" w:themeFill="background1"/>
            <w:hideMark/>
          </w:tcPr>
          <w:p w14:paraId="7BED04BD" w14:textId="4BA9A913" w:rsidR="009757B3" w:rsidRPr="008A401A" w:rsidRDefault="009757B3" w:rsidP="00765843">
            <w:pPr>
              <w:spacing w:line="240" w:lineRule="auto"/>
              <w:jc w:val="center"/>
              <w:rPr>
                <w:rFonts w:eastAsia="等线" w:cs="Arial"/>
                <w:color w:val="000000"/>
                <w:szCs w:val="18"/>
              </w:rPr>
            </w:pPr>
            <w:r w:rsidRPr="00FD607A">
              <w:t>8</w:t>
            </w:r>
          </w:p>
        </w:tc>
        <w:tc>
          <w:tcPr>
            <w:tcW w:w="1791" w:type="pct"/>
            <w:tcBorders>
              <w:bottom w:val="single" w:sz="4" w:space="0" w:color="006600"/>
            </w:tcBorders>
            <w:shd w:val="clear" w:color="auto" w:fill="FFFFFF" w:themeFill="background1"/>
            <w:hideMark/>
          </w:tcPr>
          <w:p w14:paraId="4EDBCF7B" w14:textId="07D8C7F4" w:rsidR="009757B3" w:rsidRPr="008A401A" w:rsidRDefault="009757B3" w:rsidP="00765843">
            <w:pPr>
              <w:spacing w:line="240" w:lineRule="auto"/>
              <w:jc w:val="center"/>
              <w:rPr>
                <w:rFonts w:eastAsia="等线" w:cs="Arial"/>
                <w:color w:val="000000"/>
                <w:szCs w:val="18"/>
              </w:rPr>
            </w:pPr>
            <w:r w:rsidRPr="00FD607A">
              <w:t>High hydrogen emissions</w:t>
            </w:r>
          </w:p>
        </w:tc>
        <w:tc>
          <w:tcPr>
            <w:tcW w:w="341" w:type="pct"/>
            <w:tcBorders>
              <w:bottom w:val="single" w:sz="4" w:space="0" w:color="006600"/>
            </w:tcBorders>
            <w:shd w:val="clear" w:color="auto" w:fill="FFFFFF" w:themeFill="background1"/>
            <w:hideMark/>
          </w:tcPr>
          <w:p w14:paraId="61B36F3C" w14:textId="7ACC30F2" w:rsidR="009757B3" w:rsidRPr="008A401A" w:rsidRDefault="009757B3" w:rsidP="00765843">
            <w:pPr>
              <w:spacing w:line="240" w:lineRule="auto"/>
              <w:jc w:val="center"/>
              <w:rPr>
                <w:rFonts w:eastAsia="等线" w:cs="Arial"/>
                <w:color w:val="000000"/>
                <w:szCs w:val="18"/>
              </w:rPr>
            </w:pPr>
            <w:r w:rsidRPr="00FD607A">
              <w:t>3%</w:t>
            </w:r>
          </w:p>
        </w:tc>
        <w:tc>
          <w:tcPr>
            <w:tcW w:w="1333" w:type="pct"/>
            <w:tcBorders>
              <w:bottom w:val="single" w:sz="4" w:space="0" w:color="006600"/>
            </w:tcBorders>
            <w:shd w:val="clear" w:color="auto" w:fill="FFFFFF" w:themeFill="background1"/>
            <w:hideMark/>
          </w:tcPr>
          <w:p w14:paraId="3BBF2A90" w14:textId="430D9476" w:rsidR="009757B3" w:rsidRPr="008A401A" w:rsidRDefault="009757B3" w:rsidP="00765843">
            <w:pPr>
              <w:spacing w:line="240" w:lineRule="auto"/>
              <w:jc w:val="center"/>
              <w:rPr>
                <w:rFonts w:eastAsia="等线" w:cs="Arial"/>
                <w:color w:val="000000"/>
                <w:szCs w:val="18"/>
              </w:rPr>
            </w:pPr>
            <w:r w:rsidRPr="00FD607A">
              <w:t>Operational difficulty</w:t>
            </w:r>
          </w:p>
        </w:tc>
      </w:tr>
      <w:tr w:rsidR="009757B3" w:rsidRPr="008A401A" w14:paraId="241208EE" w14:textId="77777777" w:rsidTr="003F2E4A">
        <w:trPr>
          <w:trHeight w:val="20"/>
        </w:trPr>
        <w:tc>
          <w:tcPr>
            <w:tcW w:w="5000" w:type="pct"/>
            <w:gridSpan w:val="5"/>
            <w:tcBorders>
              <w:top w:val="single" w:sz="4" w:space="0" w:color="006600"/>
              <w:bottom w:val="single" w:sz="4" w:space="0" w:color="006600"/>
            </w:tcBorders>
            <w:shd w:val="clear" w:color="auto" w:fill="FFFFFF" w:themeFill="background1"/>
            <w:vAlign w:val="center"/>
          </w:tcPr>
          <w:p w14:paraId="1C98917C" w14:textId="0011BB57" w:rsidR="009757B3" w:rsidRPr="00FD607A" w:rsidRDefault="009757B3" w:rsidP="00765843">
            <w:pPr>
              <w:spacing w:line="240" w:lineRule="auto"/>
              <w:jc w:val="center"/>
            </w:pPr>
            <w:r w:rsidRPr="008A401A">
              <w:rPr>
                <w:rFonts w:eastAsia="等线" w:cs="Arial"/>
                <w:color w:val="000000"/>
                <w:szCs w:val="18"/>
              </w:rPr>
              <w:t>Activities</w:t>
            </w:r>
          </w:p>
        </w:tc>
      </w:tr>
      <w:tr w:rsidR="00D54B28" w:rsidRPr="008A401A" w14:paraId="4B2D0E82" w14:textId="77777777" w:rsidTr="00D54B28">
        <w:trPr>
          <w:trHeight w:val="20"/>
        </w:trPr>
        <w:tc>
          <w:tcPr>
            <w:tcW w:w="1194" w:type="pct"/>
            <w:tcBorders>
              <w:top w:val="single" w:sz="4" w:space="0" w:color="006600"/>
            </w:tcBorders>
            <w:shd w:val="clear" w:color="auto" w:fill="FFFFFF" w:themeFill="background1"/>
            <w:vAlign w:val="center"/>
            <w:hideMark/>
          </w:tcPr>
          <w:p w14:paraId="1F451895" w14:textId="77777777" w:rsidR="009757B3" w:rsidRPr="008A401A" w:rsidRDefault="009757B3" w:rsidP="00765843">
            <w:pPr>
              <w:spacing w:line="240" w:lineRule="auto"/>
              <w:jc w:val="center"/>
              <w:rPr>
                <w:rFonts w:eastAsia="等线" w:cs="Arial"/>
                <w:color w:val="000000"/>
                <w:szCs w:val="18"/>
              </w:rPr>
            </w:pPr>
            <w:r w:rsidRPr="008A401A">
              <w:rPr>
                <w:rFonts w:eastAsia="等线" w:cs="Arial"/>
                <w:color w:val="000000"/>
                <w:szCs w:val="18"/>
              </w:rPr>
              <w:t>Transportation</w:t>
            </w:r>
          </w:p>
        </w:tc>
        <w:tc>
          <w:tcPr>
            <w:tcW w:w="341" w:type="pct"/>
            <w:tcBorders>
              <w:top w:val="single" w:sz="4" w:space="0" w:color="006600"/>
            </w:tcBorders>
            <w:shd w:val="clear" w:color="auto" w:fill="FFFFFF" w:themeFill="background1"/>
            <w:hideMark/>
          </w:tcPr>
          <w:p w14:paraId="38CCDB7B" w14:textId="13098833" w:rsidR="009757B3" w:rsidRPr="008A401A" w:rsidRDefault="009757B3" w:rsidP="00765843">
            <w:pPr>
              <w:spacing w:line="240" w:lineRule="auto"/>
              <w:jc w:val="center"/>
              <w:rPr>
                <w:rFonts w:eastAsia="等线" w:cs="Arial"/>
                <w:color w:val="000000"/>
                <w:szCs w:val="18"/>
              </w:rPr>
            </w:pPr>
            <w:r w:rsidRPr="00FD607A">
              <w:t>5</w:t>
            </w:r>
          </w:p>
        </w:tc>
        <w:tc>
          <w:tcPr>
            <w:tcW w:w="1791" w:type="pct"/>
            <w:tcBorders>
              <w:top w:val="single" w:sz="4" w:space="0" w:color="006600"/>
            </w:tcBorders>
            <w:shd w:val="clear" w:color="auto" w:fill="FFFFFF" w:themeFill="background1"/>
            <w:hideMark/>
          </w:tcPr>
          <w:p w14:paraId="260CBEE0" w14:textId="6BB22908" w:rsidR="009757B3" w:rsidRPr="008A401A" w:rsidRDefault="009757B3" w:rsidP="00765843">
            <w:pPr>
              <w:spacing w:line="240" w:lineRule="auto"/>
              <w:jc w:val="center"/>
              <w:rPr>
                <w:rFonts w:eastAsia="等线" w:cs="Arial"/>
                <w:color w:val="000000"/>
                <w:szCs w:val="18"/>
              </w:rPr>
            </w:pPr>
            <w:r w:rsidRPr="00FD607A">
              <w:t>Leakage prevention necessary</w:t>
            </w:r>
          </w:p>
        </w:tc>
        <w:tc>
          <w:tcPr>
            <w:tcW w:w="341" w:type="pct"/>
            <w:tcBorders>
              <w:top w:val="single" w:sz="4" w:space="0" w:color="006600"/>
            </w:tcBorders>
            <w:shd w:val="clear" w:color="auto" w:fill="FFFFFF" w:themeFill="background1"/>
            <w:hideMark/>
          </w:tcPr>
          <w:p w14:paraId="52034BE6" w14:textId="3640DAF5" w:rsidR="009757B3" w:rsidRPr="008A401A" w:rsidRDefault="009757B3" w:rsidP="00765843">
            <w:pPr>
              <w:spacing w:line="240" w:lineRule="auto"/>
              <w:jc w:val="center"/>
              <w:rPr>
                <w:rFonts w:eastAsia="等线" w:cs="Arial"/>
                <w:color w:val="000000"/>
                <w:szCs w:val="18"/>
              </w:rPr>
            </w:pPr>
            <w:r w:rsidRPr="00FD607A">
              <w:t>3%</w:t>
            </w:r>
          </w:p>
        </w:tc>
        <w:tc>
          <w:tcPr>
            <w:tcW w:w="1333" w:type="pct"/>
            <w:tcBorders>
              <w:top w:val="single" w:sz="4" w:space="0" w:color="006600"/>
            </w:tcBorders>
            <w:shd w:val="clear" w:color="auto" w:fill="FFFFFF" w:themeFill="background1"/>
            <w:hideMark/>
          </w:tcPr>
          <w:p w14:paraId="63839D0E" w14:textId="7723CD5F" w:rsidR="009757B3" w:rsidRPr="008A401A" w:rsidRDefault="009757B3" w:rsidP="00765843">
            <w:pPr>
              <w:spacing w:line="240" w:lineRule="auto"/>
              <w:jc w:val="center"/>
              <w:rPr>
                <w:rFonts w:eastAsia="等线" w:cs="Arial"/>
                <w:color w:val="000000"/>
                <w:szCs w:val="18"/>
              </w:rPr>
            </w:pPr>
            <w:r w:rsidRPr="00FD607A">
              <w:t>Explosion-proof layout</w:t>
            </w:r>
          </w:p>
        </w:tc>
      </w:tr>
      <w:tr w:rsidR="00D54B28" w:rsidRPr="008A401A" w14:paraId="090E7FC8" w14:textId="77777777" w:rsidTr="00D54B28">
        <w:trPr>
          <w:trHeight w:val="20"/>
        </w:trPr>
        <w:tc>
          <w:tcPr>
            <w:tcW w:w="1194" w:type="pct"/>
            <w:shd w:val="clear" w:color="auto" w:fill="FFFFFF" w:themeFill="background1"/>
            <w:vAlign w:val="center"/>
            <w:hideMark/>
          </w:tcPr>
          <w:p w14:paraId="7D2DE7D6" w14:textId="77777777" w:rsidR="009757B3" w:rsidRPr="008A401A" w:rsidRDefault="009757B3" w:rsidP="00765843">
            <w:pPr>
              <w:spacing w:line="240" w:lineRule="auto"/>
              <w:jc w:val="center"/>
              <w:rPr>
                <w:rFonts w:eastAsia="等线" w:cs="Arial"/>
                <w:color w:val="000000"/>
                <w:szCs w:val="18"/>
              </w:rPr>
            </w:pPr>
            <w:r w:rsidRPr="008A401A">
              <w:rPr>
                <w:rFonts w:eastAsia="等线" w:cs="Arial"/>
                <w:color w:val="000000"/>
                <w:szCs w:val="18"/>
              </w:rPr>
              <w:lastRenderedPageBreak/>
              <w:t>Emission or combustion</w:t>
            </w:r>
          </w:p>
        </w:tc>
        <w:tc>
          <w:tcPr>
            <w:tcW w:w="341" w:type="pct"/>
            <w:shd w:val="clear" w:color="auto" w:fill="FFFFFF" w:themeFill="background1"/>
            <w:hideMark/>
          </w:tcPr>
          <w:p w14:paraId="65240183" w14:textId="698CD4B1" w:rsidR="009757B3" w:rsidRPr="008A401A" w:rsidRDefault="009757B3" w:rsidP="00765843">
            <w:pPr>
              <w:spacing w:line="240" w:lineRule="auto"/>
              <w:jc w:val="center"/>
              <w:rPr>
                <w:rFonts w:eastAsia="等线" w:cs="Arial"/>
                <w:color w:val="000000"/>
                <w:szCs w:val="18"/>
              </w:rPr>
            </w:pPr>
            <w:r w:rsidRPr="00FD607A">
              <w:t>9</w:t>
            </w:r>
          </w:p>
        </w:tc>
        <w:tc>
          <w:tcPr>
            <w:tcW w:w="1791" w:type="pct"/>
            <w:shd w:val="clear" w:color="auto" w:fill="FFFFFF" w:themeFill="background1"/>
            <w:hideMark/>
          </w:tcPr>
          <w:p w14:paraId="315AF9B3" w14:textId="5A792868" w:rsidR="009757B3" w:rsidRPr="008A401A" w:rsidRDefault="009757B3" w:rsidP="00765843">
            <w:pPr>
              <w:spacing w:line="240" w:lineRule="auto"/>
              <w:jc w:val="center"/>
              <w:rPr>
                <w:rFonts w:eastAsia="等线" w:cs="Arial"/>
                <w:color w:val="000000"/>
                <w:szCs w:val="18"/>
              </w:rPr>
            </w:pPr>
            <w:r w:rsidRPr="00FD607A">
              <w:t>High hydrogen output</w:t>
            </w:r>
          </w:p>
        </w:tc>
        <w:tc>
          <w:tcPr>
            <w:tcW w:w="341" w:type="pct"/>
            <w:shd w:val="clear" w:color="auto" w:fill="FFFFFF" w:themeFill="background1"/>
            <w:hideMark/>
          </w:tcPr>
          <w:p w14:paraId="0A2A0C37" w14:textId="7FEC0852" w:rsidR="009757B3" w:rsidRPr="008A401A" w:rsidRDefault="009757B3" w:rsidP="00765843">
            <w:pPr>
              <w:spacing w:line="240" w:lineRule="auto"/>
              <w:jc w:val="center"/>
              <w:rPr>
                <w:rFonts w:eastAsia="等线" w:cs="Arial"/>
                <w:color w:val="000000"/>
                <w:szCs w:val="18"/>
              </w:rPr>
            </w:pPr>
            <w:r w:rsidRPr="00FD607A">
              <w:t>4%</w:t>
            </w:r>
          </w:p>
        </w:tc>
        <w:tc>
          <w:tcPr>
            <w:tcW w:w="1333" w:type="pct"/>
            <w:shd w:val="clear" w:color="auto" w:fill="FFFFFF" w:themeFill="background1"/>
            <w:hideMark/>
          </w:tcPr>
          <w:p w14:paraId="0A2358B3" w14:textId="5BD20D48" w:rsidR="009757B3" w:rsidRPr="008A401A" w:rsidRDefault="009757B3" w:rsidP="00765843">
            <w:pPr>
              <w:spacing w:line="240" w:lineRule="auto"/>
              <w:jc w:val="center"/>
              <w:rPr>
                <w:rFonts w:eastAsia="等线" w:cs="Arial"/>
                <w:color w:val="000000"/>
                <w:szCs w:val="18"/>
              </w:rPr>
            </w:pPr>
            <w:r w:rsidRPr="00FD607A">
              <w:t>Additional safety measures</w:t>
            </w:r>
          </w:p>
        </w:tc>
      </w:tr>
      <w:tr w:rsidR="00D54B28" w:rsidRPr="008A401A" w14:paraId="76B7B8A0" w14:textId="77777777" w:rsidTr="00D54B28">
        <w:trPr>
          <w:trHeight w:val="20"/>
        </w:trPr>
        <w:tc>
          <w:tcPr>
            <w:tcW w:w="1194" w:type="pct"/>
            <w:shd w:val="clear" w:color="auto" w:fill="FFFFFF" w:themeFill="background1"/>
            <w:vAlign w:val="center"/>
            <w:hideMark/>
          </w:tcPr>
          <w:p w14:paraId="5F87254C" w14:textId="77777777" w:rsidR="009757B3" w:rsidRPr="008A401A" w:rsidRDefault="009757B3" w:rsidP="00765843">
            <w:pPr>
              <w:spacing w:line="240" w:lineRule="auto"/>
              <w:jc w:val="center"/>
              <w:rPr>
                <w:rFonts w:eastAsia="等线" w:cs="Arial"/>
                <w:color w:val="000000"/>
                <w:szCs w:val="18"/>
              </w:rPr>
            </w:pPr>
            <w:r w:rsidRPr="008A401A">
              <w:rPr>
                <w:rFonts w:eastAsia="等线" w:cs="Arial"/>
                <w:color w:val="000000"/>
                <w:szCs w:val="18"/>
              </w:rPr>
              <w:t>Maintenance</w:t>
            </w:r>
          </w:p>
        </w:tc>
        <w:tc>
          <w:tcPr>
            <w:tcW w:w="341" w:type="pct"/>
            <w:shd w:val="clear" w:color="auto" w:fill="FFFFFF" w:themeFill="background1"/>
            <w:hideMark/>
          </w:tcPr>
          <w:p w14:paraId="5EAECF91" w14:textId="5543C001" w:rsidR="009757B3" w:rsidRPr="008A401A" w:rsidRDefault="009757B3" w:rsidP="00765843">
            <w:pPr>
              <w:spacing w:line="240" w:lineRule="auto"/>
              <w:jc w:val="center"/>
              <w:rPr>
                <w:rFonts w:eastAsia="等线" w:cs="Arial"/>
                <w:color w:val="000000"/>
                <w:szCs w:val="18"/>
              </w:rPr>
            </w:pPr>
            <w:r w:rsidRPr="00FD607A">
              <w:t>8</w:t>
            </w:r>
          </w:p>
        </w:tc>
        <w:tc>
          <w:tcPr>
            <w:tcW w:w="1791" w:type="pct"/>
            <w:shd w:val="clear" w:color="auto" w:fill="FFFFFF" w:themeFill="background1"/>
            <w:hideMark/>
          </w:tcPr>
          <w:p w14:paraId="735DCA49" w14:textId="1474746B" w:rsidR="009757B3" w:rsidRPr="008A401A" w:rsidRDefault="009757B3" w:rsidP="00765843">
            <w:pPr>
              <w:spacing w:line="240" w:lineRule="auto"/>
              <w:jc w:val="center"/>
              <w:rPr>
                <w:rFonts w:eastAsia="等线" w:cs="Arial"/>
                <w:color w:val="000000"/>
                <w:szCs w:val="18"/>
              </w:rPr>
            </w:pPr>
            <w:r w:rsidRPr="00FD607A">
              <w:t>Complex equipment maintenance</w:t>
            </w:r>
          </w:p>
        </w:tc>
        <w:tc>
          <w:tcPr>
            <w:tcW w:w="341" w:type="pct"/>
            <w:shd w:val="clear" w:color="auto" w:fill="FFFFFF" w:themeFill="background1"/>
            <w:hideMark/>
          </w:tcPr>
          <w:p w14:paraId="70263FD6" w14:textId="4ECA5964" w:rsidR="009757B3" w:rsidRPr="008A401A" w:rsidRDefault="009757B3" w:rsidP="00765843">
            <w:pPr>
              <w:spacing w:line="240" w:lineRule="auto"/>
              <w:jc w:val="center"/>
              <w:rPr>
                <w:rFonts w:eastAsia="等线" w:cs="Arial"/>
                <w:color w:val="000000"/>
                <w:szCs w:val="18"/>
              </w:rPr>
            </w:pPr>
            <w:r w:rsidRPr="00FD607A">
              <w:t>3%</w:t>
            </w:r>
          </w:p>
        </w:tc>
        <w:tc>
          <w:tcPr>
            <w:tcW w:w="1333" w:type="pct"/>
            <w:shd w:val="clear" w:color="auto" w:fill="FFFFFF" w:themeFill="background1"/>
            <w:hideMark/>
          </w:tcPr>
          <w:p w14:paraId="066BF58C" w14:textId="3CAB8C40" w:rsidR="009757B3" w:rsidRPr="008A401A" w:rsidRDefault="009757B3" w:rsidP="00765843">
            <w:pPr>
              <w:spacing w:line="240" w:lineRule="auto"/>
              <w:jc w:val="center"/>
              <w:rPr>
                <w:rFonts w:eastAsia="等线" w:cs="Arial"/>
                <w:color w:val="000000"/>
                <w:szCs w:val="18"/>
              </w:rPr>
            </w:pPr>
            <w:r w:rsidRPr="00FD607A">
              <w:t>Control requirements</w:t>
            </w:r>
          </w:p>
        </w:tc>
      </w:tr>
      <w:tr w:rsidR="00D54B28" w:rsidRPr="008A401A" w14:paraId="14E6ADD0" w14:textId="77777777" w:rsidTr="00D54B28">
        <w:trPr>
          <w:trHeight w:val="20"/>
        </w:trPr>
        <w:tc>
          <w:tcPr>
            <w:tcW w:w="1194" w:type="pct"/>
            <w:shd w:val="clear" w:color="auto" w:fill="FFFFFF" w:themeFill="background1"/>
            <w:vAlign w:val="center"/>
            <w:hideMark/>
          </w:tcPr>
          <w:p w14:paraId="11C4FFFE" w14:textId="77777777" w:rsidR="009757B3" w:rsidRPr="008A401A" w:rsidRDefault="009757B3" w:rsidP="00765843">
            <w:pPr>
              <w:spacing w:line="240" w:lineRule="auto"/>
              <w:jc w:val="center"/>
              <w:rPr>
                <w:rFonts w:eastAsia="等线" w:cs="Arial"/>
                <w:color w:val="000000"/>
                <w:szCs w:val="18"/>
              </w:rPr>
            </w:pPr>
            <w:r w:rsidRPr="008A401A">
              <w:rPr>
                <w:rFonts w:eastAsia="等线" w:cs="Arial"/>
                <w:color w:val="000000"/>
                <w:szCs w:val="18"/>
              </w:rPr>
              <w:t>Other</w:t>
            </w:r>
          </w:p>
        </w:tc>
        <w:tc>
          <w:tcPr>
            <w:tcW w:w="341" w:type="pct"/>
            <w:shd w:val="clear" w:color="auto" w:fill="FFFFFF" w:themeFill="background1"/>
            <w:hideMark/>
          </w:tcPr>
          <w:p w14:paraId="4D9D712A" w14:textId="05888BD5" w:rsidR="009757B3" w:rsidRPr="008A401A" w:rsidRDefault="009757B3" w:rsidP="00765843">
            <w:pPr>
              <w:spacing w:line="240" w:lineRule="auto"/>
              <w:jc w:val="center"/>
              <w:rPr>
                <w:rFonts w:eastAsia="等线" w:cs="Arial"/>
                <w:color w:val="000000"/>
                <w:szCs w:val="18"/>
              </w:rPr>
            </w:pPr>
            <w:r w:rsidRPr="00FD607A">
              <w:t>4</w:t>
            </w:r>
          </w:p>
        </w:tc>
        <w:tc>
          <w:tcPr>
            <w:tcW w:w="1791" w:type="pct"/>
            <w:shd w:val="clear" w:color="auto" w:fill="FFFFFF" w:themeFill="background1"/>
            <w:hideMark/>
          </w:tcPr>
          <w:p w14:paraId="2C0B3EF3" w14:textId="73F36004" w:rsidR="009757B3" w:rsidRPr="008A401A" w:rsidRDefault="009757B3" w:rsidP="00765843">
            <w:pPr>
              <w:spacing w:line="240" w:lineRule="auto"/>
              <w:jc w:val="center"/>
              <w:rPr>
                <w:rFonts w:eastAsia="等线" w:cs="Arial"/>
                <w:color w:val="000000"/>
                <w:szCs w:val="18"/>
              </w:rPr>
            </w:pPr>
            <w:r w:rsidRPr="00FD607A">
              <w:t>Regular electrolyte replacement</w:t>
            </w:r>
          </w:p>
        </w:tc>
        <w:tc>
          <w:tcPr>
            <w:tcW w:w="341" w:type="pct"/>
            <w:shd w:val="clear" w:color="auto" w:fill="FFFFFF" w:themeFill="background1"/>
            <w:hideMark/>
          </w:tcPr>
          <w:p w14:paraId="467AB49D" w14:textId="4872F9DB" w:rsidR="009757B3" w:rsidRPr="008A401A" w:rsidRDefault="009757B3" w:rsidP="00765843">
            <w:pPr>
              <w:spacing w:line="240" w:lineRule="auto"/>
              <w:jc w:val="center"/>
              <w:rPr>
                <w:rFonts w:eastAsia="等线" w:cs="Arial"/>
                <w:color w:val="000000"/>
                <w:szCs w:val="18"/>
              </w:rPr>
            </w:pPr>
            <w:r w:rsidRPr="00FD607A">
              <w:t>2%</w:t>
            </w:r>
          </w:p>
        </w:tc>
        <w:tc>
          <w:tcPr>
            <w:tcW w:w="1333" w:type="pct"/>
            <w:shd w:val="clear" w:color="auto" w:fill="FFFFFF" w:themeFill="background1"/>
            <w:hideMark/>
          </w:tcPr>
          <w:p w14:paraId="6C6FB7AF" w14:textId="4B557011" w:rsidR="009757B3" w:rsidRPr="008A401A" w:rsidRDefault="009757B3" w:rsidP="00765843">
            <w:pPr>
              <w:spacing w:line="240" w:lineRule="auto"/>
              <w:jc w:val="center"/>
              <w:rPr>
                <w:rFonts w:eastAsia="等线" w:cs="Arial"/>
                <w:color w:val="000000"/>
                <w:szCs w:val="18"/>
              </w:rPr>
            </w:pPr>
            <w:r w:rsidRPr="00FD607A">
              <w:t>Testing needed</w:t>
            </w:r>
          </w:p>
        </w:tc>
      </w:tr>
      <w:tr w:rsidR="009757B3" w:rsidRPr="008A401A" w14:paraId="62B3B0D3" w14:textId="77777777" w:rsidTr="003F2E4A">
        <w:trPr>
          <w:trHeight w:val="20"/>
        </w:trPr>
        <w:tc>
          <w:tcPr>
            <w:tcW w:w="5000" w:type="pct"/>
            <w:gridSpan w:val="5"/>
            <w:shd w:val="clear" w:color="auto" w:fill="FFFFFF" w:themeFill="background1"/>
            <w:vAlign w:val="center"/>
          </w:tcPr>
          <w:p w14:paraId="2D95B0FD" w14:textId="2851CE23" w:rsidR="009757B3" w:rsidRPr="00FD607A" w:rsidRDefault="009757B3" w:rsidP="00765843">
            <w:pPr>
              <w:spacing w:line="240" w:lineRule="auto"/>
              <w:jc w:val="center"/>
            </w:pPr>
            <w:r w:rsidRPr="008A401A">
              <w:rPr>
                <w:rFonts w:eastAsia="等线" w:cs="Arial"/>
                <w:color w:val="000000"/>
                <w:szCs w:val="18"/>
              </w:rPr>
              <w:t>Consequence</w:t>
            </w:r>
          </w:p>
        </w:tc>
      </w:tr>
      <w:tr w:rsidR="00D54B28" w:rsidRPr="008A401A" w14:paraId="206C9BB6" w14:textId="77777777" w:rsidTr="00D54B28">
        <w:trPr>
          <w:trHeight w:val="20"/>
        </w:trPr>
        <w:tc>
          <w:tcPr>
            <w:tcW w:w="1194" w:type="pct"/>
            <w:shd w:val="clear" w:color="auto" w:fill="FFFFFF" w:themeFill="background1"/>
            <w:vAlign w:val="center"/>
            <w:hideMark/>
          </w:tcPr>
          <w:p w14:paraId="4659B008" w14:textId="77777777" w:rsidR="009757B3" w:rsidRPr="008A401A" w:rsidRDefault="009757B3" w:rsidP="00765843">
            <w:pPr>
              <w:spacing w:line="240" w:lineRule="auto"/>
              <w:jc w:val="center"/>
              <w:rPr>
                <w:rFonts w:eastAsia="等线" w:cs="Arial"/>
                <w:color w:val="000000"/>
                <w:szCs w:val="18"/>
              </w:rPr>
            </w:pPr>
            <w:r w:rsidRPr="008A401A">
              <w:rPr>
                <w:rFonts w:eastAsia="等线" w:cs="Arial"/>
                <w:color w:val="000000"/>
                <w:szCs w:val="18"/>
              </w:rPr>
              <w:t>Fireball</w:t>
            </w:r>
          </w:p>
        </w:tc>
        <w:tc>
          <w:tcPr>
            <w:tcW w:w="341" w:type="pct"/>
            <w:shd w:val="clear" w:color="auto" w:fill="FFFFFF" w:themeFill="background1"/>
            <w:hideMark/>
          </w:tcPr>
          <w:p w14:paraId="79C2EC8F" w14:textId="00EABC03" w:rsidR="009757B3" w:rsidRPr="008A401A" w:rsidRDefault="009757B3" w:rsidP="00765843">
            <w:pPr>
              <w:spacing w:line="240" w:lineRule="auto"/>
              <w:jc w:val="center"/>
              <w:rPr>
                <w:rFonts w:eastAsia="等线" w:cs="Arial"/>
                <w:color w:val="000000"/>
                <w:szCs w:val="18"/>
              </w:rPr>
            </w:pPr>
            <w:r w:rsidRPr="00FD607A">
              <w:t>9</w:t>
            </w:r>
          </w:p>
        </w:tc>
        <w:tc>
          <w:tcPr>
            <w:tcW w:w="1791" w:type="pct"/>
            <w:shd w:val="clear" w:color="auto" w:fill="FFFFFF" w:themeFill="background1"/>
            <w:hideMark/>
          </w:tcPr>
          <w:p w14:paraId="45FA18FE" w14:textId="29C40C14" w:rsidR="009757B3" w:rsidRPr="008A401A" w:rsidRDefault="009757B3" w:rsidP="00765843">
            <w:pPr>
              <w:spacing w:line="240" w:lineRule="auto"/>
              <w:jc w:val="center"/>
              <w:rPr>
                <w:rFonts w:eastAsia="等线" w:cs="Arial"/>
                <w:color w:val="000000"/>
                <w:szCs w:val="18"/>
              </w:rPr>
            </w:pPr>
            <w:r w:rsidRPr="00FD607A">
              <w:t>Fireball risk from leakage</w:t>
            </w:r>
          </w:p>
        </w:tc>
        <w:tc>
          <w:tcPr>
            <w:tcW w:w="341" w:type="pct"/>
            <w:shd w:val="clear" w:color="auto" w:fill="FFFFFF" w:themeFill="background1"/>
            <w:hideMark/>
          </w:tcPr>
          <w:p w14:paraId="269DA99B" w14:textId="41FDEA95" w:rsidR="009757B3" w:rsidRPr="008A401A" w:rsidRDefault="009757B3" w:rsidP="00765843">
            <w:pPr>
              <w:spacing w:line="240" w:lineRule="auto"/>
              <w:jc w:val="center"/>
              <w:rPr>
                <w:rFonts w:eastAsia="等线" w:cs="Arial"/>
                <w:color w:val="000000"/>
                <w:szCs w:val="18"/>
              </w:rPr>
            </w:pPr>
            <w:r w:rsidRPr="00FD607A">
              <w:t>5%</w:t>
            </w:r>
          </w:p>
        </w:tc>
        <w:tc>
          <w:tcPr>
            <w:tcW w:w="1333" w:type="pct"/>
            <w:shd w:val="clear" w:color="auto" w:fill="FFFFFF" w:themeFill="background1"/>
            <w:hideMark/>
          </w:tcPr>
          <w:p w14:paraId="09807747" w14:textId="099587FD" w:rsidR="009757B3" w:rsidRPr="008A401A" w:rsidRDefault="009757B3" w:rsidP="00765843">
            <w:pPr>
              <w:spacing w:line="240" w:lineRule="auto"/>
              <w:jc w:val="center"/>
              <w:rPr>
                <w:rFonts w:eastAsia="等线" w:cs="Arial"/>
                <w:color w:val="000000"/>
                <w:szCs w:val="18"/>
              </w:rPr>
            </w:pPr>
            <w:r w:rsidRPr="00FD607A">
              <w:t>Strict emission control</w:t>
            </w:r>
          </w:p>
        </w:tc>
      </w:tr>
      <w:tr w:rsidR="00D54B28" w:rsidRPr="008A401A" w14:paraId="5F761B6F" w14:textId="77777777" w:rsidTr="00D54B28">
        <w:trPr>
          <w:trHeight w:val="20"/>
        </w:trPr>
        <w:tc>
          <w:tcPr>
            <w:tcW w:w="1194" w:type="pct"/>
            <w:shd w:val="clear" w:color="auto" w:fill="FFFFFF" w:themeFill="background1"/>
            <w:vAlign w:val="center"/>
            <w:hideMark/>
          </w:tcPr>
          <w:p w14:paraId="34337446" w14:textId="77777777" w:rsidR="009757B3" w:rsidRPr="008A401A" w:rsidRDefault="009757B3" w:rsidP="00765843">
            <w:pPr>
              <w:spacing w:line="240" w:lineRule="auto"/>
              <w:jc w:val="center"/>
              <w:rPr>
                <w:rFonts w:eastAsia="等线" w:cs="Arial"/>
                <w:color w:val="000000"/>
                <w:szCs w:val="18"/>
              </w:rPr>
            </w:pPr>
            <w:r w:rsidRPr="008A401A">
              <w:rPr>
                <w:rFonts w:eastAsia="等线" w:cs="Arial"/>
                <w:color w:val="000000"/>
                <w:szCs w:val="18"/>
              </w:rPr>
              <w:t>Jet fire</w:t>
            </w:r>
          </w:p>
        </w:tc>
        <w:tc>
          <w:tcPr>
            <w:tcW w:w="341" w:type="pct"/>
            <w:shd w:val="clear" w:color="auto" w:fill="FFFFFF" w:themeFill="background1"/>
            <w:hideMark/>
          </w:tcPr>
          <w:p w14:paraId="35007880" w14:textId="237FD3E8" w:rsidR="009757B3" w:rsidRPr="008A401A" w:rsidRDefault="009757B3" w:rsidP="00765843">
            <w:pPr>
              <w:spacing w:line="240" w:lineRule="auto"/>
              <w:jc w:val="center"/>
              <w:rPr>
                <w:rFonts w:eastAsia="等线" w:cs="Arial"/>
                <w:color w:val="000000"/>
                <w:szCs w:val="18"/>
              </w:rPr>
            </w:pPr>
            <w:r w:rsidRPr="00FD607A">
              <w:t>8</w:t>
            </w:r>
          </w:p>
        </w:tc>
        <w:tc>
          <w:tcPr>
            <w:tcW w:w="1791" w:type="pct"/>
            <w:shd w:val="clear" w:color="auto" w:fill="FFFFFF" w:themeFill="background1"/>
            <w:hideMark/>
          </w:tcPr>
          <w:p w14:paraId="6E1B8806" w14:textId="354686D8" w:rsidR="009757B3" w:rsidRPr="008A401A" w:rsidRDefault="009757B3" w:rsidP="00765843">
            <w:pPr>
              <w:spacing w:line="240" w:lineRule="auto"/>
              <w:jc w:val="center"/>
              <w:rPr>
                <w:rFonts w:eastAsia="等线" w:cs="Arial"/>
                <w:color w:val="000000"/>
                <w:szCs w:val="18"/>
              </w:rPr>
            </w:pPr>
            <w:r w:rsidRPr="00FD607A">
              <w:t>High-temperature leak fire risk</w:t>
            </w:r>
          </w:p>
        </w:tc>
        <w:tc>
          <w:tcPr>
            <w:tcW w:w="341" w:type="pct"/>
            <w:shd w:val="clear" w:color="auto" w:fill="FFFFFF" w:themeFill="background1"/>
            <w:hideMark/>
          </w:tcPr>
          <w:p w14:paraId="313E353F" w14:textId="0E34CC9E" w:rsidR="009757B3" w:rsidRPr="008A401A" w:rsidRDefault="009757B3" w:rsidP="00765843">
            <w:pPr>
              <w:spacing w:line="240" w:lineRule="auto"/>
              <w:jc w:val="center"/>
              <w:rPr>
                <w:rFonts w:eastAsia="等线" w:cs="Arial"/>
                <w:color w:val="000000"/>
                <w:szCs w:val="18"/>
              </w:rPr>
            </w:pPr>
            <w:r w:rsidRPr="00FD607A">
              <w:t>4%</w:t>
            </w:r>
          </w:p>
        </w:tc>
        <w:tc>
          <w:tcPr>
            <w:tcW w:w="1333" w:type="pct"/>
            <w:shd w:val="clear" w:color="auto" w:fill="FFFFFF" w:themeFill="background1"/>
            <w:hideMark/>
          </w:tcPr>
          <w:p w14:paraId="3A8D72B3" w14:textId="36675002" w:rsidR="009757B3" w:rsidRPr="008A401A" w:rsidRDefault="009757B3" w:rsidP="00765843">
            <w:pPr>
              <w:spacing w:line="240" w:lineRule="auto"/>
              <w:jc w:val="center"/>
              <w:rPr>
                <w:rFonts w:eastAsia="等线" w:cs="Arial"/>
                <w:color w:val="000000"/>
                <w:szCs w:val="18"/>
              </w:rPr>
            </w:pPr>
            <w:r w:rsidRPr="00FD607A">
              <w:t>Transportation risk</w:t>
            </w:r>
          </w:p>
        </w:tc>
      </w:tr>
      <w:tr w:rsidR="00D54B28" w:rsidRPr="008A401A" w14:paraId="7F6AC3EC" w14:textId="77777777" w:rsidTr="00D54B28">
        <w:trPr>
          <w:trHeight w:val="20"/>
        </w:trPr>
        <w:tc>
          <w:tcPr>
            <w:tcW w:w="1194" w:type="pct"/>
            <w:shd w:val="clear" w:color="auto" w:fill="FFFFFF" w:themeFill="background1"/>
            <w:vAlign w:val="center"/>
            <w:hideMark/>
          </w:tcPr>
          <w:p w14:paraId="24D7A283" w14:textId="77777777" w:rsidR="009757B3" w:rsidRPr="008A401A" w:rsidRDefault="009757B3" w:rsidP="00765843">
            <w:pPr>
              <w:spacing w:line="240" w:lineRule="auto"/>
              <w:jc w:val="center"/>
              <w:rPr>
                <w:rFonts w:eastAsia="等线" w:cs="Arial"/>
                <w:color w:val="000000"/>
                <w:szCs w:val="18"/>
              </w:rPr>
            </w:pPr>
            <w:r w:rsidRPr="008A401A">
              <w:rPr>
                <w:rFonts w:eastAsia="等线" w:cs="Arial"/>
                <w:color w:val="000000"/>
                <w:szCs w:val="18"/>
              </w:rPr>
              <w:t>Pool fire</w:t>
            </w:r>
          </w:p>
        </w:tc>
        <w:tc>
          <w:tcPr>
            <w:tcW w:w="341" w:type="pct"/>
            <w:shd w:val="clear" w:color="auto" w:fill="FFFFFF" w:themeFill="background1"/>
            <w:hideMark/>
          </w:tcPr>
          <w:p w14:paraId="7F823A4D" w14:textId="10EBDCA4" w:rsidR="009757B3" w:rsidRPr="008A401A" w:rsidRDefault="009757B3" w:rsidP="00765843">
            <w:pPr>
              <w:spacing w:line="240" w:lineRule="auto"/>
              <w:jc w:val="center"/>
              <w:rPr>
                <w:rFonts w:eastAsia="等线" w:cs="Arial"/>
                <w:color w:val="000000"/>
                <w:szCs w:val="18"/>
              </w:rPr>
            </w:pPr>
            <w:r w:rsidRPr="00FD607A">
              <w:t>7</w:t>
            </w:r>
          </w:p>
        </w:tc>
        <w:tc>
          <w:tcPr>
            <w:tcW w:w="1791" w:type="pct"/>
            <w:shd w:val="clear" w:color="auto" w:fill="FFFFFF" w:themeFill="background1"/>
            <w:hideMark/>
          </w:tcPr>
          <w:p w14:paraId="42039D73" w14:textId="1234C9EE" w:rsidR="009757B3" w:rsidRPr="008A401A" w:rsidRDefault="009757B3" w:rsidP="00765843">
            <w:pPr>
              <w:spacing w:line="240" w:lineRule="auto"/>
              <w:jc w:val="center"/>
              <w:rPr>
                <w:rFonts w:eastAsia="等线" w:cs="Arial"/>
                <w:color w:val="000000"/>
                <w:szCs w:val="18"/>
              </w:rPr>
            </w:pPr>
            <w:r w:rsidRPr="00FD607A">
              <w:t>Leak onto hot surfaces risk</w:t>
            </w:r>
          </w:p>
        </w:tc>
        <w:tc>
          <w:tcPr>
            <w:tcW w:w="341" w:type="pct"/>
            <w:shd w:val="clear" w:color="auto" w:fill="FFFFFF" w:themeFill="background1"/>
            <w:hideMark/>
          </w:tcPr>
          <w:p w14:paraId="1FBC19D3" w14:textId="63D7A953" w:rsidR="009757B3" w:rsidRPr="008A401A" w:rsidRDefault="009757B3" w:rsidP="00765843">
            <w:pPr>
              <w:spacing w:line="240" w:lineRule="auto"/>
              <w:jc w:val="center"/>
              <w:rPr>
                <w:rFonts w:eastAsia="等线" w:cs="Arial"/>
                <w:color w:val="000000"/>
                <w:szCs w:val="18"/>
              </w:rPr>
            </w:pPr>
            <w:r w:rsidRPr="00FD607A">
              <w:t>3%</w:t>
            </w:r>
          </w:p>
        </w:tc>
        <w:tc>
          <w:tcPr>
            <w:tcW w:w="1333" w:type="pct"/>
            <w:shd w:val="clear" w:color="auto" w:fill="FFFFFF" w:themeFill="background1"/>
            <w:hideMark/>
          </w:tcPr>
          <w:p w14:paraId="0E376D5A" w14:textId="69620026" w:rsidR="009757B3" w:rsidRPr="008A401A" w:rsidRDefault="009757B3" w:rsidP="00765843">
            <w:pPr>
              <w:spacing w:line="240" w:lineRule="auto"/>
              <w:jc w:val="center"/>
              <w:rPr>
                <w:rFonts w:eastAsia="等线" w:cs="Arial"/>
                <w:color w:val="000000"/>
                <w:szCs w:val="18"/>
              </w:rPr>
            </w:pPr>
            <w:r w:rsidRPr="00FD607A">
              <w:t>Combustion control</w:t>
            </w:r>
          </w:p>
        </w:tc>
      </w:tr>
      <w:tr w:rsidR="00D54B28" w:rsidRPr="008A401A" w14:paraId="5D7DF966" w14:textId="77777777" w:rsidTr="00D54B28">
        <w:trPr>
          <w:trHeight w:val="20"/>
        </w:trPr>
        <w:tc>
          <w:tcPr>
            <w:tcW w:w="1194" w:type="pct"/>
            <w:shd w:val="clear" w:color="auto" w:fill="FFFFFF" w:themeFill="background1"/>
            <w:vAlign w:val="center"/>
            <w:hideMark/>
          </w:tcPr>
          <w:p w14:paraId="03C50814" w14:textId="77777777" w:rsidR="009757B3" w:rsidRPr="008A401A" w:rsidRDefault="009757B3" w:rsidP="00765843">
            <w:pPr>
              <w:spacing w:line="240" w:lineRule="auto"/>
              <w:jc w:val="center"/>
              <w:rPr>
                <w:rFonts w:eastAsia="等线" w:cs="Arial"/>
                <w:color w:val="000000"/>
                <w:szCs w:val="18"/>
              </w:rPr>
            </w:pPr>
            <w:r w:rsidRPr="008A401A">
              <w:rPr>
                <w:rFonts w:eastAsia="等线" w:cs="Arial"/>
                <w:color w:val="000000"/>
                <w:szCs w:val="18"/>
              </w:rPr>
              <w:t>VCES</w:t>
            </w:r>
          </w:p>
        </w:tc>
        <w:tc>
          <w:tcPr>
            <w:tcW w:w="341" w:type="pct"/>
            <w:shd w:val="clear" w:color="auto" w:fill="FFFFFF" w:themeFill="background1"/>
            <w:hideMark/>
          </w:tcPr>
          <w:p w14:paraId="38D39B44" w14:textId="4ABDBBDF" w:rsidR="009757B3" w:rsidRPr="008A401A" w:rsidRDefault="009757B3" w:rsidP="00765843">
            <w:pPr>
              <w:spacing w:line="240" w:lineRule="auto"/>
              <w:jc w:val="center"/>
              <w:rPr>
                <w:rFonts w:eastAsia="等线" w:cs="Arial"/>
                <w:color w:val="000000"/>
                <w:szCs w:val="18"/>
              </w:rPr>
            </w:pPr>
            <w:r w:rsidRPr="00FD607A">
              <w:t>8</w:t>
            </w:r>
          </w:p>
        </w:tc>
        <w:tc>
          <w:tcPr>
            <w:tcW w:w="1791" w:type="pct"/>
            <w:shd w:val="clear" w:color="auto" w:fill="FFFFFF" w:themeFill="background1"/>
            <w:hideMark/>
          </w:tcPr>
          <w:p w14:paraId="28F85BCB" w14:textId="1E9F94F1" w:rsidR="009757B3" w:rsidRPr="008A401A" w:rsidRDefault="009757B3" w:rsidP="00765843">
            <w:pPr>
              <w:spacing w:line="240" w:lineRule="auto"/>
              <w:jc w:val="center"/>
              <w:rPr>
                <w:rFonts w:eastAsia="等线" w:cs="Arial"/>
                <w:color w:val="000000"/>
                <w:szCs w:val="18"/>
              </w:rPr>
            </w:pPr>
            <w:r w:rsidRPr="00FD607A">
              <w:t>Vapor cloud explosion risk</w:t>
            </w:r>
          </w:p>
        </w:tc>
        <w:tc>
          <w:tcPr>
            <w:tcW w:w="341" w:type="pct"/>
            <w:shd w:val="clear" w:color="auto" w:fill="FFFFFF" w:themeFill="background1"/>
            <w:hideMark/>
          </w:tcPr>
          <w:p w14:paraId="5AE63749" w14:textId="035BF3D7" w:rsidR="009757B3" w:rsidRPr="008A401A" w:rsidRDefault="009757B3" w:rsidP="00765843">
            <w:pPr>
              <w:spacing w:line="240" w:lineRule="auto"/>
              <w:jc w:val="center"/>
              <w:rPr>
                <w:rFonts w:eastAsia="等线" w:cs="Arial"/>
                <w:color w:val="000000"/>
                <w:szCs w:val="18"/>
              </w:rPr>
            </w:pPr>
            <w:r w:rsidRPr="00FD607A">
              <w:t>4%</w:t>
            </w:r>
          </w:p>
        </w:tc>
        <w:tc>
          <w:tcPr>
            <w:tcW w:w="1333" w:type="pct"/>
            <w:shd w:val="clear" w:color="auto" w:fill="FFFFFF" w:themeFill="background1"/>
            <w:hideMark/>
          </w:tcPr>
          <w:p w14:paraId="4CE3E2BB" w14:textId="7548EE52" w:rsidR="009757B3" w:rsidRPr="008A401A" w:rsidRDefault="009757B3" w:rsidP="00765843">
            <w:pPr>
              <w:spacing w:line="240" w:lineRule="auto"/>
              <w:jc w:val="center"/>
              <w:rPr>
                <w:rFonts w:eastAsia="等线" w:cs="Arial"/>
                <w:color w:val="000000"/>
                <w:szCs w:val="18"/>
              </w:rPr>
            </w:pPr>
            <w:r w:rsidRPr="00FD607A">
              <w:t>Maintenance complexity</w:t>
            </w:r>
          </w:p>
        </w:tc>
      </w:tr>
      <w:tr w:rsidR="00D54B28" w:rsidRPr="008A401A" w14:paraId="070B6409" w14:textId="77777777" w:rsidTr="00D54B28">
        <w:trPr>
          <w:trHeight w:val="20"/>
        </w:trPr>
        <w:tc>
          <w:tcPr>
            <w:tcW w:w="1194" w:type="pct"/>
            <w:shd w:val="clear" w:color="auto" w:fill="FFFFFF" w:themeFill="background1"/>
            <w:vAlign w:val="center"/>
            <w:hideMark/>
          </w:tcPr>
          <w:p w14:paraId="507EC5E1" w14:textId="77777777" w:rsidR="009757B3" w:rsidRPr="008A401A" w:rsidRDefault="009757B3" w:rsidP="00765843">
            <w:pPr>
              <w:spacing w:line="240" w:lineRule="auto"/>
              <w:jc w:val="center"/>
              <w:rPr>
                <w:rFonts w:eastAsia="等线" w:cs="Arial"/>
                <w:color w:val="000000"/>
                <w:szCs w:val="18"/>
              </w:rPr>
            </w:pPr>
            <w:r w:rsidRPr="008A401A">
              <w:rPr>
                <w:rFonts w:eastAsia="等线" w:cs="Arial"/>
                <w:color w:val="000000"/>
                <w:szCs w:val="18"/>
              </w:rPr>
              <w:t>BLEVE</w:t>
            </w:r>
          </w:p>
        </w:tc>
        <w:tc>
          <w:tcPr>
            <w:tcW w:w="341" w:type="pct"/>
            <w:shd w:val="clear" w:color="auto" w:fill="FFFFFF" w:themeFill="background1"/>
            <w:hideMark/>
          </w:tcPr>
          <w:p w14:paraId="2A7A3B75" w14:textId="306B707A" w:rsidR="009757B3" w:rsidRPr="008A401A" w:rsidRDefault="009757B3" w:rsidP="00765843">
            <w:pPr>
              <w:spacing w:line="240" w:lineRule="auto"/>
              <w:jc w:val="center"/>
              <w:rPr>
                <w:rFonts w:eastAsia="等线" w:cs="Arial"/>
                <w:color w:val="000000"/>
                <w:szCs w:val="18"/>
              </w:rPr>
            </w:pPr>
            <w:r w:rsidRPr="00FD607A">
              <w:t>9</w:t>
            </w:r>
          </w:p>
        </w:tc>
        <w:tc>
          <w:tcPr>
            <w:tcW w:w="1791" w:type="pct"/>
            <w:shd w:val="clear" w:color="auto" w:fill="FFFFFF" w:themeFill="background1"/>
            <w:hideMark/>
          </w:tcPr>
          <w:p w14:paraId="2E47AE81" w14:textId="763D9152" w:rsidR="009757B3" w:rsidRPr="008A401A" w:rsidRDefault="009757B3" w:rsidP="00765843">
            <w:pPr>
              <w:spacing w:line="240" w:lineRule="auto"/>
              <w:jc w:val="center"/>
              <w:rPr>
                <w:rFonts w:eastAsia="等线" w:cs="Arial"/>
                <w:color w:val="000000"/>
                <w:szCs w:val="18"/>
              </w:rPr>
            </w:pPr>
            <w:r w:rsidRPr="00FD607A">
              <w:t>Pressurized hydrogen BLEVE risk</w:t>
            </w:r>
          </w:p>
        </w:tc>
        <w:tc>
          <w:tcPr>
            <w:tcW w:w="341" w:type="pct"/>
            <w:shd w:val="clear" w:color="auto" w:fill="FFFFFF" w:themeFill="background1"/>
            <w:hideMark/>
          </w:tcPr>
          <w:p w14:paraId="0EFE4AC8" w14:textId="2AA841F6" w:rsidR="009757B3" w:rsidRPr="008A401A" w:rsidRDefault="009757B3" w:rsidP="00765843">
            <w:pPr>
              <w:spacing w:line="240" w:lineRule="auto"/>
              <w:jc w:val="center"/>
              <w:rPr>
                <w:rFonts w:eastAsia="等线" w:cs="Arial"/>
                <w:color w:val="000000"/>
                <w:szCs w:val="18"/>
              </w:rPr>
            </w:pPr>
            <w:r w:rsidRPr="00FD607A">
              <w:t>5%</w:t>
            </w:r>
          </w:p>
        </w:tc>
        <w:tc>
          <w:tcPr>
            <w:tcW w:w="1333" w:type="pct"/>
            <w:shd w:val="clear" w:color="auto" w:fill="FFFFFF" w:themeFill="background1"/>
            <w:hideMark/>
          </w:tcPr>
          <w:p w14:paraId="4C878BCF" w14:textId="0E08193D" w:rsidR="009757B3" w:rsidRPr="008A401A" w:rsidRDefault="009757B3" w:rsidP="00765843">
            <w:pPr>
              <w:spacing w:line="240" w:lineRule="auto"/>
              <w:jc w:val="center"/>
              <w:rPr>
                <w:rFonts w:eastAsia="等线" w:cs="Arial"/>
                <w:color w:val="000000"/>
                <w:szCs w:val="18"/>
              </w:rPr>
            </w:pPr>
            <w:r w:rsidRPr="00FD607A">
              <w:t>Minor stability impact</w:t>
            </w:r>
          </w:p>
        </w:tc>
      </w:tr>
      <w:tr w:rsidR="00D54B28" w:rsidRPr="008A401A" w14:paraId="03CA0414" w14:textId="77777777" w:rsidTr="00D54B28">
        <w:trPr>
          <w:trHeight w:val="20"/>
        </w:trPr>
        <w:tc>
          <w:tcPr>
            <w:tcW w:w="1194" w:type="pct"/>
            <w:shd w:val="clear" w:color="auto" w:fill="FFFFFF" w:themeFill="background1"/>
            <w:vAlign w:val="center"/>
            <w:hideMark/>
          </w:tcPr>
          <w:p w14:paraId="13A5DBFB" w14:textId="77777777" w:rsidR="009757B3" w:rsidRPr="008A401A" w:rsidRDefault="009757B3" w:rsidP="00765843">
            <w:pPr>
              <w:spacing w:line="240" w:lineRule="auto"/>
              <w:jc w:val="center"/>
              <w:rPr>
                <w:rFonts w:eastAsia="等线" w:cs="Arial"/>
                <w:color w:val="000000"/>
                <w:szCs w:val="18"/>
              </w:rPr>
            </w:pPr>
            <w:r w:rsidRPr="008A401A">
              <w:rPr>
                <w:rFonts w:eastAsia="等线" w:cs="Arial"/>
                <w:color w:val="000000"/>
                <w:szCs w:val="18"/>
              </w:rPr>
              <w:t>Enclosed</w:t>
            </w:r>
          </w:p>
        </w:tc>
        <w:tc>
          <w:tcPr>
            <w:tcW w:w="341" w:type="pct"/>
            <w:shd w:val="clear" w:color="auto" w:fill="FFFFFF" w:themeFill="background1"/>
            <w:hideMark/>
          </w:tcPr>
          <w:p w14:paraId="5CF4F204" w14:textId="548469C2" w:rsidR="009757B3" w:rsidRPr="008A401A" w:rsidRDefault="009757B3" w:rsidP="00765843">
            <w:pPr>
              <w:spacing w:line="240" w:lineRule="auto"/>
              <w:jc w:val="center"/>
              <w:rPr>
                <w:rFonts w:eastAsia="等线" w:cs="Arial"/>
                <w:color w:val="000000"/>
                <w:szCs w:val="18"/>
              </w:rPr>
            </w:pPr>
            <w:r w:rsidRPr="00FD607A">
              <w:t>8</w:t>
            </w:r>
          </w:p>
        </w:tc>
        <w:tc>
          <w:tcPr>
            <w:tcW w:w="1791" w:type="pct"/>
            <w:shd w:val="clear" w:color="auto" w:fill="FFFFFF" w:themeFill="background1"/>
            <w:hideMark/>
          </w:tcPr>
          <w:p w14:paraId="3BF56862" w14:textId="28CE2B78" w:rsidR="009757B3" w:rsidRPr="008A401A" w:rsidRDefault="009757B3" w:rsidP="00765843">
            <w:pPr>
              <w:spacing w:line="240" w:lineRule="auto"/>
              <w:jc w:val="center"/>
              <w:rPr>
                <w:rFonts w:eastAsia="等线" w:cs="Arial"/>
                <w:color w:val="000000"/>
                <w:szCs w:val="18"/>
              </w:rPr>
            </w:pPr>
            <w:r w:rsidRPr="00FD607A">
              <w:t>High-sealing requirements</w:t>
            </w:r>
          </w:p>
        </w:tc>
        <w:tc>
          <w:tcPr>
            <w:tcW w:w="341" w:type="pct"/>
            <w:shd w:val="clear" w:color="auto" w:fill="FFFFFF" w:themeFill="background1"/>
            <w:hideMark/>
          </w:tcPr>
          <w:p w14:paraId="50B244C7" w14:textId="58E78D89" w:rsidR="009757B3" w:rsidRPr="008A401A" w:rsidRDefault="009757B3" w:rsidP="00765843">
            <w:pPr>
              <w:spacing w:line="240" w:lineRule="auto"/>
              <w:jc w:val="center"/>
              <w:rPr>
                <w:rFonts w:eastAsia="等线" w:cs="Arial"/>
                <w:color w:val="000000"/>
                <w:szCs w:val="18"/>
              </w:rPr>
            </w:pPr>
            <w:r w:rsidRPr="00FD607A">
              <w:t>3%</w:t>
            </w:r>
          </w:p>
        </w:tc>
        <w:tc>
          <w:tcPr>
            <w:tcW w:w="1333" w:type="pct"/>
            <w:shd w:val="clear" w:color="auto" w:fill="FFFFFF" w:themeFill="background1"/>
            <w:hideMark/>
          </w:tcPr>
          <w:p w14:paraId="62056394" w14:textId="613785D2" w:rsidR="009757B3" w:rsidRPr="008A401A" w:rsidRDefault="009757B3" w:rsidP="00765843">
            <w:pPr>
              <w:spacing w:line="240" w:lineRule="auto"/>
              <w:jc w:val="center"/>
              <w:rPr>
                <w:rFonts w:eastAsia="等线" w:cs="Arial"/>
                <w:color w:val="000000"/>
                <w:szCs w:val="18"/>
              </w:rPr>
            </w:pPr>
            <w:r w:rsidRPr="00FD607A">
              <w:t>Fireball risk</w:t>
            </w:r>
          </w:p>
        </w:tc>
      </w:tr>
      <w:tr w:rsidR="00D54B28" w:rsidRPr="008A401A" w14:paraId="144DE340" w14:textId="77777777" w:rsidTr="00D54B28">
        <w:trPr>
          <w:trHeight w:val="20"/>
        </w:trPr>
        <w:tc>
          <w:tcPr>
            <w:tcW w:w="1194" w:type="pct"/>
            <w:tcBorders>
              <w:bottom w:val="single" w:sz="12" w:space="0" w:color="008000"/>
            </w:tcBorders>
            <w:shd w:val="clear" w:color="auto" w:fill="FFFFFF" w:themeFill="background1"/>
            <w:vAlign w:val="center"/>
            <w:hideMark/>
          </w:tcPr>
          <w:p w14:paraId="5F1F1597" w14:textId="77777777" w:rsidR="009757B3" w:rsidRPr="008A401A" w:rsidRDefault="009757B3" w:rsidP="00765843">
            <w:pPr>
              <w:spacing w:line="240" w:lineRule="auto"/>
              <w:jc w:val="center"/>
              <w:rPr>
                <w:rFonts w:eastAsia="等线" w:cs="Arial"/>
                <w:color w:val="000000"/>
                <w:szCs w:val="18"/>
              </w:rPr>
            </w:pPr>
            <w:r w:rsidRPr="008A401A">
              <w:rPr>
                <w:rFonts w:eastAsia="等线" w:cs="Arial"/>
                <w:color w:val="000000"/>
                <w:szCs w:val="18"/>
              </w:rPr>
              <w:t>Spread of toxic chemicals</w:t>
            </w:r>
          </w:p>
        </w:tc>
        <w:tc>
          <w:tcPr>
            <w:tcW w:w="341" w:type="pct"/>
            <w:tcBorders>
              <w:bottom w:val="single" w:sz="12" w:space="0" w:color="008000"/>
            </w:tcBorders>
            <w:shd w:val="clear" w:color="auto" w:fill="FFFFFF" w:themeFill="background1"/>
            <w:hideMark/>
          </w:tcPr>
          <w:p w14:paraId="468C2B94" w14:textId="1EC91081" w:rsidR="009757B3" w:rsidRPr="008A401A" w:rsidRDefault="009757B3" w:rsidP="00765843">
            <w:pPr>
              <w:spacing w:line="240" w:lineRule="auto"/>
              <w:jc w:val="center"/>
              <w:rPr>
                <w:rFonts w:eastAsia="等线" w:cs="Arial"/>
                <w:color w:val="000000"/>
                <w:szCs w:val="18"/>
              </w:rPr>
            </w:pPr>
            <w:r w:rsidRPr="00FD607A">
              <w:t>7</w:t>
            </w:r>
          </w:p>
        </w:tc>
        <w:tc>
          <w:tcPr>
            <w:tcW w:w="1791" w:type="pct"/>
            <w:tcBorders>
              <w:bottom w:val="single" w:sz="12" w:space="0" w:color="008000"/>
            </w:tcBorders>
            <w:shd w:val="clear" w:color="auto" w:fill="FFFFFF" w:themeFill="background1"/>
            <w:hideMark/>
          </w:tcPr>
          <w:p w14:paraId="0A70B1EC" w14:textId="436C5559" w:rsidR="009757B3" w:rsidRPr="008A401A" w:rsidRDefault="009757B3" w:rsidP="00765843">
            <w:pPr>
              <w:spacing w:line="240" w:lineRule="auto"/>
              <w:jc w:val="center"/>
              <w:rPr>
                <w:rFonts w:eastAsia="等线" w:cs="Arial"/>
                <w:color w:val="000000"/>
                <w:szCs w:val="18"/>
              </w:rPr>
            </w:pPr>
            <w:r w:rsidRPr="00FD607A">
              <w:t>Toxic component leak risk</w:t>
            </w:r>
          </w:p>
        </w:tc>
        <w:tc>
          <w:tcPr>
            <w:tcW w:w="341" w:type="pct"/>
            <w:tcBorders>
              <w:bottom w:val="single" w:sz="12" w:space="0" w:color="008000"/>
            </w:tcBorders>
            <w:shd w:val="clear" w:color="auto" w:fill="FFFFFF" w:themeFill="background1"/>
            <w:hideMark/>
          </w:tcPr>
          <w:p w14:paraId="20666674" w14:textId="2AD76A0F" w:rsidR="009757B3" w:rsidRPr="008A401A" w:rsidRDefault="009757B3" w:rsidP="00765843">
            <w:pPr>
              <w:spacing w:line="240" w:lineRule="auto"/>
              <w:jc w:val="center"/>
              <w:rPr>
                <w:rFonts w:eastAsia="等线" w:cs="Arial"/>
                <w:color w:val="000000"/>
                <w:szCs w:val="18"/>
              </w:rPr>
            </w:pPr>
            <w:r w:rsidRPr="00FD607A">
              <w:t>4%</w:t>
            </w:r>
          </w:p>
        </w:tc>
        <w:tc>
          <w:tcPr>
            <w:tcW w:w="1333" w:type="pct"/>
            <w:tcBorders>
              <w:bottom w:val="single" w:sz="12" w:space="0" w:color="008000"/>
            </w:tcBorders>
            <w:shd w:val="clear" w:color="auto" w:fill="FFFFFF" w:themeFill="background1"/>
            <w:hideMark/>
          </w:tcPr>
          <w:p w14:paraId="13754111" w14:textId="6A83F30B" w:rsidR="009757B3" w:rsidRPr="008A401A" w:rsidRDefault="009757B3" w:rsidP="00765843">
            <w:pPr>
              <w:spacing w:line="240" w:lineRule="auto"/>
              <w:jc w:val="center"/>
              <w:rPr>
                <w:rFonts w:eastAsia="等线" w:cs="Arial"/>
                <w:color w:val="000000"/>
                <w:szCs w:val="18"/>
              </w:rPr>
            </w:pPr>
            <w:r w:rsidRPr="00FD607A">
              <w:t>Jet fire risk</w:t>
            </w:r>
          </w:p>
        </w:tc>
      </w:tr>
    </w:tbl>
    <w:p w14:paraId="1F96CA21" w14:textId="036C6C20" w:rsidR="00600535" w:rsidRPr="008A401A" w:rsidRDefault="00A91B1D" w:rsidP="00A91B1D">
      <w:pPr>
        <w:pStyle w:val="CETheadingx"/>
        <w:rPr>
          <w:rFonts w:cs="Arial"/>
        </w:rPr>
      </w:pPr>
      <w:r w:rsidRPr="008A401A">
        <w:rPr>
          <w:rFonts w:cs="Arial"/>
        </w:rPr>
        <w:t>First-layer indicator</w:t>
      </w:r>
    </w:p>
    <w:p w14:paraId="281FEED1" w14:textId="77777777" w:rsidR="00565AF2" w:rsidRPr="00565AF2" w:rsidRDefault="00565AF2" w:rsidP="00565AF2">
      <w:pPr>
        <w:pStyle w:val="CETnumberingbullets"/>
        <w:numPr>
          <w:ilvl w:val="0"/>
          <w:numId w:val="0"/>
        </w:numPr>
        <w:ind w:left="113"/>
        <w:rPr>
          <w:rFonts w:cs="Arial" w:hint="eastAsia"/>
        </w:rPr>
      </w:pPr>
      <w:r w:rsidRPr="00565AF2">
        <w:rPr>
          <w:rFonts w:cs="Arial"/>
        </w:rPr>
        <w:t>Figure 1 illustrates the relative proximity (closeness) of the electrolytic hydrogen production system on different indicator dimensions. According to the NR-TOPSIS methodology, the distance of each indicator is calculated relative to the ideal (best) scenario and the non-ideal (worst) scenario. The results in the figure clearly reflect the extent to which each category of metrics contributes to the inherent safety of the system. For example, Reaction and Equipment are likely to have a high relative importance, implying that these two categories have a significant impact on the overall inherent safety in an electrolytic hydrogen production system. This also implies that more attention should be paid to the improvement and optimization of Reaction and Equipment in practical safety management and process design.</w:t>
      </w:r>
    </w:p>
    <w:p w14:paraId="332AABDB" w14:textId="77777777" w:rsidR="00565AF2" w:rsidRPr="008A401A" w:rsidRDefault="00565AF2" w:rsidP="00565AF2">
      <w:pPr>
        <w:pStyle w:val="CETCaption"/>
        <w:keepNext/>
        <w:jc w:val="center"/>
        <w:rPr>
          <w:rFonts w:cs="Arial"/>
        </w:rPr>
      </w:pPr>
      <w:r w:rsidRPr="008A401A">
        <w:rPr>
          <w:rFonts w:cs="Arial"/>
          <w:noProof/>
          <w:sz w:val="22"/>
        </w:rPr>
        <w:drawing>
          <wp:inline distT="0" distB="0" distL="0" distR="0" wp14:anchorId="036461C6" wp14:editId="3D07A339">
            <wp:extent cx="2533650" cy="2005135"/>
            <wp:effectExtent l="0" t="0" r="0" b="0"/>
            <wp:docPr id="17120258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025865" name="图片 1"/>
                    <pic:cNvPicPr/>
                  </pic:nvPicPr>
                  <pic:blipFill>
                    <a:blip r:embed="rId10" cstate="print">
                      <a:extLst>
                        <a:ext uri="{28A0092B-C50C-407E-A947-70E740481C1C}">
                          <a14:useLocalDpi xmlns:a14="http://schemas.microsoft.com/office/drawing/2010/main"/>
                        </a:ext>
                      </a:extLst>
                    </a:blip>
                    <a:stretch>
                      <a:fillRect/>
                    </a:stretch>
                  </pic:blipFill>
                  <pic:spPr>
                    <a:xfrm>
                      <a:off x="0" y="0"/>
                      <a:ext cx="2550914" cy="2018798"/>
                    </a:xfrm>
                    <a:prstGeom prst="rect">
                      <a:avLst/>
                    </a:prstGeom>
                  </pic:spPr>
                </pic:pic>
              </a:graphicData>
            </a:graphic>
          </wp:inline>
        </w:drawing>
      </w:r>
    </w:p>
    <w:p w14:paraId="070FC77B" w14:textId="77777777" w:rsidR="00565AF2" w:rsidRDefault="00565AF2" w:rsidP="00565AF2">
      <w:pPr>
        <w:pStyle w:val="CETCaption"/>
        <w:spacing w:before="0" w:after="0"/>
        <w:jc w:val="center"/>
        <w:rPr>
          <w:rStyle w:val="CETCaptionCarattere"/>
          <w:rFonts w:eastAsiaTheme="minorEastAsia" w:cs="Arial"/>
          <w:i/>
          <w:lang w:eastAsia="zh-CN"/>
        </w:rPr>
      </w:pPr>
      <w:r w:rsidRPr="008A401A">
        <w:rPr>
          <w:rStyle w:val="CETCaptionCarattere"/>
          <w:rFonts w:cs="Arial"/>
          <w:i/>
        </w:rPr>
        <w:t>Figure 1: electrocatalysis closeness across dimensions</w:t>
      </w:r>
    </w:p>
    <w:p w14:paraId="2FB2819E" w14:textId="309F4E8E" w:rsidR="00CE188C" w:rsidRPr="008A401A" w:rsidRDefault="009E2ECB" w:rsidP="009E2ECB">
      <w:pPr>
        <w:pStyle w:val="CETheadingx"/>
        <w:rPr>
          <w:rFonts w:cs="Arial"/>
        </w:rPr>
      </w:pPr>
      <w:r w:rsidRPr="008A401A">
        <w:rPr>
          <w:rFonts w:cs="Arial"/>
        </w:rPr>
        <w:t>Second-layer indicator</w:t>
      </w:r>
    </w:p>
    <w:p w14:paraId="1C930D4B" w14:textId="51B6ABB4" w:rsidR="00124762" w:rsidRPr="00124762" w:rsidRDefault="00124762" w:rsidP="00124762">
      <w:pPr>
        <w:pStyle w:val="CETBodytext"/>
        <w:rPr>
          <w:rFonts w:cs="Arial"/>
          <w:lang w:val="en-GB"/>
        </w:rPr>
      </w:pPr>
      <w:r w:rsidRPr="00124762">
        <w:rPr>
          <w:rFonts w:cs="Arial"/>
          <w:lang w:val="en-GB"/>
        </w:rPr>
        <w:t>Table 3 shows the weighting matrix for the Level 2 indicators, where expert judgment was used to form a pairwise comparison matrix to determine the relative importance of each category. For example, the high importance of Consequences relative to the other indicator categories (e.g., nature of substance, process, reaction, equipment, activity) reflects the general consensus that the consequences of accidents are an area of particular emphasis when assessing the inherent safety of hydrogen electrolysis. The matrix provides a numerical visualization of the weighting relationships between the different categories of indicators, providing a clear reference for decision makers.</w:t>
      </w:r>
    </w:p>
    <w:p w14:paraId="133A8C8B" w14:textId="5071B376" w:rsidR="006A18FF" w:rsidRDefault="00124762" w:rsidP="00124762">
      <w:pPr>
        <w:pStyle w:val="CETBodytext"/>
        <w:rPr>
          <w:rFonts w:eastAsiaTheme="minorEastAsia" w:cs="Arial"/>
          <w:lang w:val="en-GB" w:eastAsia="zh-CN"/>
        </w:rPr>
      </w:pPr>
      <w:r w:rsidRPr="00124762">
        <w:rPr>
          <w:rFonts w:cs="Arial"/>
          <w:lang w:val="en-GB"/>
        </w:rPr>
        <w:t>Table 4 demonstrates the consistency check performed on the above weight assignment matrix. By calculating the eigenvalue (</w:t>
      </w:r>
      <w:proofErr w:type="spellStart"/>
      <w:r w:rsidRPr="00124762">
        <w:rPr>
          <w:rFonts w:cs="Arial"/>
          <w:lang w:val="en-GB"/>
        </w:rPr>
        <w:t>λ_max</w:t>
      </w:r>
      <w:proofErr w:type="spellEnd"/>
      <w:r w:rsidRPr="00124762">
        <w:rPr>
          <w:rFonts w:cs="Arial"/>
          <w:lang w:val="en-GB"/>
        </w:rPr>
        <w:t>), consistency index (CI) and consistency ratio (CR), it is shown that the formulated weight matrix possesses good internal logical consistency (CR = 0.05 &lt; 0.1), indicating that the expert judgment and weight setting are reasonable and credible. This consistency test ensures the robustness of the whole safety evaluation system and the reliability of the assessment results, which can effectively support further decision-making and optimization of risk control measures.</w:t>
      </w:r>
    </w:p>
    <w:p w14:paraId="7A7C5F42" w14:textId="141C7611" w:rsidR="00124762" w:rsidRPr="00124762" w:rsidRDefault="00FB053F" w:rsidP="00124762">
      <w:pPr>
        <w:pStyle w:val="CETBodytext"/>
        <w:rPr>
          <w:rFonts w:eastAsiaTheme="minorEastAsia" w:cs="Arial" w:hint="eastAsia"/>
          <w:lang w:val="en-GB" w:eastAsia="zh-CN"/>
        </w:rPr>
      </w:pPr>
      <w:r w:rsidRPr="00FB053F">
        <w:rPr>
          <w:rFonts w:cs="Arial"/>
          <w:lang w:val="en-GB"/>
        </w:rPr>
        <w:t xml:space="preserve">The final inherent safety score of 0.433 for electrolytic hydrogen production indicates that the system possesses a moderate level of inherent safety. This value, which ranges between 0 (extremely unsafe) and 1 (extremely safe), suggests that while certain safety measures are effectively in place, there are significant areas for improvement. Specifically, the moderate score highlights the need for enhanced </w:t>
      </w:r>
      <w:r w:rsidRPr="00FB053F">
        <w:rPr>
          <w:rFonts w:cs="Arial"/>
          <w:lang w:val="en-GB"/>
        </w:rPr>
        <w:lastRenderedPageBreak/>
        <w:t>safety management in critical aspects such as equipment protection, process control, and emergency response. The score serves as a diagnostic tool, providing insights into the system's relative safety performance and identifying key areas where additional safeguards are necessary. Moreover, this score can be used as a benchmark for comparing the inherent safety of different hydrogen production systems or similar processes in other industries. Regular monitoring of this score over time can further support continuous improvement initiatives, ensuring that safety measures are systematically enhanced.</w:t>
      </w:r>
    </w:p>
    <w:p w14:paraId="344B4DC5" w14:textId="68981CD2" w:rsidR="001A75A3" w:rsidRPr="008A401A" w:rsidRDefault="001A75A3" w:rsidP="00C80428">
      <w:pPr>
        <w:pStyle w:val="ad"/>
        <w:keepNext/>
        <w:spacing w:line="240" w:lineRule="atLeast"/>
        <w:jc w:val="center"/>
        <w:rPr>
          <w:rStyle w:val="CETCaptionCarattere"/>
          <w:rFonts w:cs="Arial"/>
          <w:b w:val="0"/>
          <w:bCs w:val="0"/>
          <w:iCs/>
          <w:color w:val="auto"/>
        </w:rPr>
      </w:pPr>
      <w:bookmarkStart w:id="3" w:name="_Ref184739902"/>
      <w:r w:rsidRPr="008A401A">
        <w:rPr>
          <w:rStyle w:val="CETCaptionCarattere"/>
          <w:rFonts w:cs="Arial"/>
          <w:b w:val="0"/>
          <w:bCs w:val="0"/>
          <w:iCs/>
          <w:color w:val="auto"/>
        </w:rPr>
        <w:t xml:space="preserve">Table </w:t>
      </w:r>
      <w:r w:rsidRPr="008A401A">
        <w:rPr>
          <w:rStyle w:val="CETCaptionCarattere"/>
          <w:rFonts w:cs="Arial"/>
          <w:iCs/>
          <w:color w:val="auto"/>
        </w:rPr>
        <w:fldChar w:fldCharType="begin"/>
      </w:r>
      <w:r w:rsidRPr="008A401A">
        <w:rPr>
          <w:rStyle w:val="CETCaptionCarattere"/>
          <w:rFonts w:cs="Arial"/>
          <w:b w:val="0"/>
          <w:bCs w:val="0"/>
          <w:iCs/>
          <w:color w:val="auto"/>
        </w:rPr>
        <w:instrText xml:space="preserve"> SEQ Table \* ARABIC </w:instrText>
      </w:r>
      <w:r w:rsidRPr="008A401A">
        <w:rPr>
          <w:rStyle w:val="CETCaptionCarattere"/>
          <w:rFonts w:cs="Arial"/>
          <w:iCs/>
          <w:color w:val="auto"/>
        </w:rPr>
        <w:fldChar w:fldCharType="separate"/>
      </w:r>
      <w:r w:rsidR="00F004FF" w:rsidRPr="008A401A">
        <w:rPr>
          <w:rStyle w:val="CETCaptionCarattere"/>
          <w:rFonts w:cs="Arial"/>
          <w:b w:val="0"/>
          <w:bCs w:val="0"/>
          <w:iCs/>
          <w:noProof/>
          <w:color w:val="auto"/>
        </w:rPr>
        <w:t>3</w:t>
      </w:r>
      <w:r w:rsidRPr="008A401A">
        <w:rPr>
          <w:rStyle w:val="CETCaptionCarattere"/>
          <w:rFonts w:cs="Arial"/>
          <w:iCs/>
          <w:color w:val="auto"/>
        </w:rPr>
        <w:fldChar w:fldCharType="end"/>
      </w:r>
      <w:bookmarkEnd w:id="3"/>
      <w:r w:rsidR="004C0302" w:rsidRPr="008A401A">
        <w:rPr>
          <w:rStyle w:val="CETCaptionCarattere"/>
          <w:rFonts w:eastAsiaTheme="minorEastAsia" w:cs="Arial"/>
          <w:iCs/>
          <w:color w:val="auto"/>
          <w:lang w:eastAsia="zh-CN"/>
        </w:rPr>
        <w:t>:</w:t>
      </w:r>
      <w:r w:rsidRPr="008A401A">
        <w:rPr>
          <w:rStyle w:val="CETCaptionCarattere"/>
          <w:rFonts w:cs="Arial"/>
          <w:b w:val="0"/>
          <w:bCs w:val="0"/>
          <w:iCs/>
          <w:color w:val="auto"/>
        </w:rPr>
        <w:t xml:space="preserve"> Weight scoring of the second-level indicators</w:t>
      </w:r>
    </w:p>
    <w:tbl>
      <w:tblPr>
        <w:tblW w:w="5000" w:type="pct"/>
        <w:tblBorders>
          <w:top w:val="single" w:sz="8" w:space="0" w:color="auto"/>
          <w:bottom w:val="single" w:sz="8" w:space="0" w:color="auto"/>
        </w:tblBorders>
        <w:tblLook w:val="04A0" w:firstRow="1" w:lastRow="0" w:firstColumn="1" w:lastColumn="0" w:noHBand="0" w:noVBand="1"/>
      </w:tblPr>
      <w:tblGrid>
        <w:gridCol w:w="2260"/>
        <w:gridCol w:w="1017"/>
        <w:gridCol w:w="867"/>
        <w:gridCol w:w="927"/>
        <w:gridCol w:w="1077"/>
        <w:gridCol w:w="787"/>
        <w:gridCol w:w="1377"/>
      </w:tblGrid>
      <w:tr w:rsidR="001A75A3" w:rsidRPr="008A401A" w14:paraId="239E14BF" w14:textId="77777777" w:rsidTr="00A9320D">
        <w:trPr>
          <w:trHeight w:val="300"/>
        </w:trPr>
        <w:tc>
          <w:tcPr>
            <w:tcW w:w="1529" w:type="pct"/>
            <w:tcBorders>
              <w:top w:val="single" w:sz="12" w:space="0" w:color="008000"/>
              <w:bottom w:val="single" w:sz="6" w:space="0" w:color="008000"/>
            </w:tcBorders>
            <w:shd w:val="clear" w:color="auto" w:fill="auto"/>
            <w:vAlign w:val="center"/>
            <w:hideMark/>
          </w:tcPr>
          <w:p w14:paraId="47F34021" w14:textId="77777777" w:rsidR="001A75A3" w:rsidRPr="008A401A" w:rsidRDefault="001A75A3" w:rsidP="00F33E61">
            <w:pPr>
              <w:jc w:val="center"/>
              <w:rPr>
                <w:rFonts w:eastAsia="仿宋" w:cs="Arial"/>
                <w:szCs w:val="18"/>
              </w:rPr>
            </w:pPr>
            <w:r w:rsidRPr="008A401A">
              <w:rPr>
                <w:rFonts w:eastAsia="仿宋" w:cs="Arial"/>
                <w:szCs w:val="18"/>
              </w:rPr>
              <w:t>Indicator category</w:t>
            </w:r>
          </w:p>
        </w:tc>
        <w:tc>
          <w:tcPr>
            <w:tcW w:w="634" w:type="pct"/>
            <w:tcBorders>
              <w:top w:val="single" w:sz="12" w:space="0" w:color="008000"/>
              <w:bottom w:val="single" w:sz="6" w:space="0" w:color="008000"/>
            </w:tcBorders>
            <w:shd w:val="clear" w:color="auto" w:fill="auto"/>
            <w:vAlign w:val="center"/>
            <w:hideMark/>
          </w:tcPr>
          <w:p w14:paraId="59F0095A" w14:textId="77777777" w:rsidR="001A75A3" w:rsidRPr="008A401A" w:rsidRDefault="001A75A3" w:rsidP="00F33E61">
            <w:pPr>
              <w:jc w:val="center"/>
              <w:rPr>
                <w:rFonts w:eastAsia="仿宋" w:cs="Arial"/>
                <w:szCs w:val="18"/>
              </w:rPr>
            </w:pPr>
            <w:r w:rsidRPr="008A401A">
              <w:rPr>
                <w:rFonts w:eastAsia="仿宋" w:cs="Arial"/>
                <w:szCs w:val="18"/>
              </w:rPr>
              <w:t>properties</w:t>
            </w:r>
          </w:p>
        </w:tc>
        <w:tc>
          <w:tcPr>
            <w:tcW w:w="469" w:type="pct"/>
            <w:tcBorders>
              <w:top w:val="single" w:sz="12" w:space="0" w:color="008000"/>
              <w:bottom w:val="single" w:sz="6" w:space="0" w:color="008000"/>
            </w:tcBorders>
            <w:shd w:val="clear" w:color="auto" w:fill="auto"/>
            <w:vAlign w:val="center"/>
            <w:hideMark/>
          </w:tcPr>
          <w:p w14:paraId="68A3B9F4" w14:textId="77777777" w:rsidR="001A75A3" w:rsidRPr="008A401A" w:rsidRDefault="001A75A3" w:rsidP="00F33E61">
            <w:pPr>
              <w:jc w:val="center"/>
              <w:rPr>
                <w:rFonts w:eastAsia="仿宋" w:cs="Arial"/>
                <w:szCs w:val="18"/>
              </w:rPr>
            </w:pPr>
            <w:r w:rsidRPr="008A401A">
              <w:rPr>
                <w:rFonts w:eastAsia="仿宋" w:cs="Arial"/>
                <w:szCs w:val="18"/>
              </w:rPr>
              <w:t>Process</w:t>
            </w:r>
          </w:p>
        </w:tc>
        <w:tc>
          <w:tcPr>
            <w:tcW w:w="520" w:type="pct"/>
            <w:tcBorders>
              <w:top w:val="single" w:sz="12" w:space="0" w:color="008000"/>
              <w:bottom w:val="single" w:sz="6" w:space="0" w:color="008000"/>
            </w:tcBorders>
            <w:shd w:val="clear" w:color="auto" w:fill="auto"/>
            <w:vAlign w:val="center"/>
            <w:hideMark/>
          </w:tcPr>
          <w:p w14:paraId="6C21B3EF" w14:textId="77777777" w:rsidR="001A75A3" w:rsidRPr="008A401A" w:rsidRDefault="001A75A3" w:rsidP="00F33E61">
            <w:pPr>
              <w:jc w:val="center"/>
              <w:rPr>
                <w:rFonts w:eastAsia="仿宋" w:cs="Arial"/>
                <w:szCs w:val="18"/>
              </w:rPr>
            </w:pPr>
            <w:r w:rsidRPr="008A401A">
              <w:rPr>
                <w:rFonts w:eastAsia="仿宋" w:cs="Arial"/>
                <w:szCs w:val="18"/>
              </w:rPr>
              <w:t>Reaction</w:t>
            </w:r>
          </w:p>
        </w:tc>
        <w:tc>
          <w:tcPr>
            <w:tcW w:w="573" w:type="pct"/>
            <w:tcBorders>
              <w:top w:val="single" w:sz="12" w:space="0" w:color="008000"/>
              <w:bottom w:val="single" w:sz="6" w:space="0" w:color="008000"/>
            </w:tcBorders>
            <w:shd w:val="clear" w:color="auto" w:fill="auto"/>
            <w:vAlign w:val="center"/>
            <w:hideMark/>
          </w:tcPr>
          <w:p w14:paraId="6400C00C" w14:textId="77777777" w:rsidR="001A75A3" w:rsidRPr="008A401A" w:rsidRDefault="001A75A3" w:rsidP="00F33E61">
            <w:pPr>
              <w:jc w:val="center"/>
              <w:rPr>
                <w:rFonts w:eastAsia="仿宋" w:cs="Arial"/>
                <w:szCs w:val="18"/>
              </w:rPr>
            </w:pPr>
            <w:r w:rsidRPr="008A401A">
              <w:rPr>
                <w:rFonts w:eastAsia="仿宋" w:cs="Arial"/>
                <w:szCs w:val="18"/>
              </w:rPr>
              <w:t>Equipment</w:t>
            </w:r>
          </w:p>
        </w:tc>
        <w:tc>
          <w:tcPr>
            <w:tcW w:w="520" w:type="pct"/>
            <w:tcBorders>
              <w:top w:val="single" w:sz="12" w:space="0" w:color="008000"/>
              <w:bottom w:val="single" w:sz="6" w:space="0" w:color="008000"/>
            </w:tcBorders>
            <w:shd w:val="clear" w:color="auto" w:fill="auto"/>
            <w:vAlign w:val="center"/>
            <w:hideMark/>
          </w:tcPr>
          <w:p w14:paraId="0BD47FAD" w14:textId="77777777" w:rsidR="001A75A3" w:rsidRPr="008A401A" w:rsidRDefault="001A75A3" w:rsidP="00F33E61">
            <w:pPr>
              <w:jc w:val="center"/>
              <w:rPr>
                <w:rFonts w:eastAsia="仿宋" w:cs="Arial"/>
                <w:szCs w:val="18"/>
              </w:rPr>
            </w:pPr>
            <w:r w:rsidRPr="008A401A">
              <w:rPr>
                <w:rFonts w:eastAsia="仿宋" w:cs="Arial"/>
                <w:szCs w:val="18"/>
              </w:rPr>
              <w:t>Activity</w:t>
            </w:r>
          </w:p>
        </w:tc>
        <w:tc>
          <w:tcPr>
            <w:tcW w:w="755" w:type="pct"/>
            <w:tcBorders>
              <w:top w:val="single" w:sz="12" w:space="0" w:color="008000"/>
              <w:bottom w:val="single" w:sz="6" w:space="0" w:color="008000"/>
            </w:tcBorders>
            <w:shd w:val="clear" w:color="auto" w:fill="auto"/>
            <w:vAlign w:val="center"/>
            <w:hideMark/>
          </w:tcPr>
          <w:p w14:paraId="7232D83A" w14:textId="77777777" w:rsidR="001A75A3" w:rsidRPr="008A401A" w:rsidRDefault="001A75A3" w:rsidP="00F33E61">
            <w:pPr>
              <w:jc w:val="center"/>
              <w:rPr>
                <w:rFonts w:eastAsia="仿宋" w:cs="Arial"/>
                <w:szCs w:val="18"/>
              </w:rPr>
            </w:pPr>
            <w:r w:rsidRPr="008A401A">
              <w:rPr>
                <w:rFonts w:eastAsia="仿宋" w:cs="Arial"/>
                <w:szCs w:val="18"/>
              </w:rPr>
              <w:t>consequences</w:t>
            </w:r>
          </w:p>
        </w:tc>
      </w:tr>
      <w:tr w:rsidR="001A75A3" w:rsidRPr="008A401A" w14:paraId="452FC80C" w14:textId="77777777" w:rsidTr="00A9320D">
        <w:trPr>
          <w:trHeight w:val="293"/>
        </w:trPr>
        <w:tc>
          <w:tcPr>
            <w:tcW w:w="1529" w:type="pct"/>
            <w:tcBorders>
              <w:top w:val="single" w:sz="6" w:space="0" w:color="008000"/>
            </w:tcBorders>
            <w:shd w:val="clear" w:color="auto" w:fill="auto"/>
            <w:vAlign w:val="center"/>
            <w:hideMark/>
          </w:tcPr>
          <w:p w14:paraId="028E979E" w14:textId="77777777" w:rsidR="001A75A3" w:rsidRPr="008A401A" w:rsidRDefault="001A75A3" w:rsidP="00F33E61">
            <w:pPr>
              <w:jc w:val="center"/>
              <w:rPr>
                <w:rFonts w:eastAsia="仿宋" w:cs="Arial"/>
                <w:szCs w:val="18"/>
              </w:rPr>
            </w:pPr>
            <w:r w:rsidRPr="008A401A">
              <w:rPr>
                <w:rFonts w:eastAsia="仿宋" w:cs="Arial"/>
                <w:szCs w:val="18"/>
              </w:rPr>
              <w:t>properties</w:t>
            </w:r>
          </w:p>
        </w:tc>
        <w:tc>
          <w:tcPr>
            <w:tcW w:w="634" w:type="pct"/>
            <w:tcBorders>
              <w:top w:val="single" w:sz="6" w:space="0" w:color="008000"/>
            </w:tcBorders>
            <w:shd w:val="clear" w:color="auto" w:fill="auto"/>
            <w:vAlign w:val="center"/>
            <w:hideMark/>
          </w:tcPr>
          <w:p w14:paraId="335B2CAA" w14:textId="77777777" w:rsidR="001A75A3" w:rsidRPr="008A401A" w:rsidRDefault="001A75A3" w:rsidP="00F33E61">
            <w:pPr>
              <w:jc w:val="center"/>
              <w:rPr>
                <w:rFonts w:eastAsia="仿宋" w:cs="Arial"/>
                <w:szCs w:val="18"/>
              </w:rPr>
            </w:pPr>
            <w:r w:rsidRPr="008A401A">
              <w:rPr>
                <w:rFonts w:eastAsia="仿宋" w:cs="Arial"/>
                <w:szCs w:val="18"/>
              </w:rPr>
              <w:t xml:space="preserve">1    </w:t>
            </w:r>
          </w:p>
        </w:tc>
        <w:tc>
          <w:tcPr>
            <w:tcW w:w="469" w:type="pct"/>
            <w:tcBorders>
              <w:top w:val="single" w:sz="6" w:space="0" w:color="008000"/>
            </w:tcBorders>
            <w:shd w:val="clear" w:color="auto" w:fill="auto"/>
            <w:vAlign w:val="center"/>
            <w:hideMark/>
          </w:tcPr>
          <w:p w14:paraId="4BCD4C4D" w14:textId="77777777" w:rsidR="001A75A3" w:rsidRPr="008A401A" w:rsidRDefault="001A75A3" w:rsidP="00F33E61">
            <w:pPr>
              <w:jc w:val="center"/>
              <w:rPr>
                <w:rFonts w:eastAsia="仿宋" w:cs="Arial"/>
                <w:szCs w:val="18"/>
              </w:rPr>
            </w:pPr>
            <w:r w:rsidRPr="008A401A">
              <w:rPr>
                <w:rFonts w:eastAsia="仿宋" w:cs="Arial"/>
                <w:szCs w:val="18"/>
              </w:rPr>
              <w:t xml:space="preserve"> 1/3</w:t>
            </w:r>
          </w:p>
        </w:tc>
        <w:tc>
          <w:tcPr>
            <w:tcW w:w="520" w:type="pct"/>
            <w:tcBorders>
              <w:top w:val="single" w:sz="6" w:space="0" w:color="008000"/>
            </w:tcBorders>
            <w:shd w:val="clear" w:color="auto" w:fill="auto"/>
            <w:vAlign w:val="center"/>
            <w:hideMark/>
          </w:tcPr>
          <w:p w14:paraId="1DF50EF3" w14:textId="77777777" w:rsidR="001A75A3" w:rsidRPr="008A401A" w:rsidRDefault="001A75A3" w:rsidP="00F33E61">
            <w:pPr>
              <w:jc w:val="center"/>
              <w:rPr>
                <w:rFonts w:eastAsia="仿宋" w:cs="Arial"/>
                <w:szCs w:val="18"/>
              </w:rPr>
            </w:pPr>
            <w:r w:rsidRPr="008A401A">
              <w:rPr>
                <w:rFonts w:eastAsia="仿宋" w:cs="Arial"/>
                <w:szCs w:val="18"/>
              </w:rPr>
              <w:t xml:space="preserve"> 1/5</w:t>
            </w:r>
          </w:p>
        </w:tc>
        <w:tc>
          <w:tcPr>
            <w:tcW w:w="573" w:type="pct"/>
            <w:tcBorders>
              <w:top w:val="single" w:sz="6" w:space="0" w:color="008000"/>
            </w:tcBorders>
            <w:shd w:val="clear" w:color="auto" w:fill="auto"/>
            <w:vAlign w:val="center"/>
            <w:hideMark/>
          </w:tcPr>
          <w:p w14:paraId="5D4B461C" w14:textId="77777777" w:rsidR="001A75A3" w:rsidRPr="008A401A" w:rsidRDefault="001A75A3" w:rsidP="00F33E61">
            <w:pPr>
              <w:jc w:val="center"/>
              <w:rPr>
                <w:rFonts w:eastAsia="仿宋" w:cs="Arial"/>
                <w:szCs w:val="18"/>
              </w:rPr>
            </w:pPr>
            <w:r w:rsidRPr="008A401A">
              <w:rPr>
                <w:rFonts w:eastAsia="仿宋" w:cs="Arial"/>
                <w:szCs w:val="18"/>
              </w:rPr>
              <w:t xml:space="preserve"> 1/4</w:t>
            </w:r>
          </w:p>
        </w:tc>
        <w:tc>
          <w:tcPr>
            <w:tcW w:w="520" w:type="pct"/>
            <w:tcBorders>
              <w:top w:val="single" w:sz="6" w:space="0" w:color="008000"/>
            </w:tcBorders>
            <w:shd w:val="clear" w:color="auto" w:fill="auto"/>
            <w:vAlign w:val="center"/>
            <w:hideMark/>
          </w:tcPr>
          <w:p w14:paraId="2BCD851A" w14:textId="77777777" w:rsidR="001A75A3" w:rsidRPr="008A401A" w:rsidRDefault="001A75A3" w:rsidP="00F33E61">
            <w:pPr>
              <w:jc w:val="center"/>
              <w:rPr>
                <w:rFonts w:eastAsia="仿宋" w:cs="Arial"/>
                <w:szCs w:val="18"/>
              </w:rPr>
            </w:pPr>
            <w:r w:rsidRPr="008A401A">
              <w:rPr>
                <w:rFonts w:eastAsia="仿宋" w:cs="Arial"/>
                <w:szCs w:val="18"/>
              </w:rPr>
              <w:t xml:space="preserve"> 1/3</w:t>
            </w:r>
          </w:p>
        </w:tc>
        <w:tc>
          <w:tcPr>
            <w:tcW w:w="755" w:type="pct"/>
            <w:tcBorders>
              <w:top w:val="single" w:sz="6" w:space="0" w:color="008000"/>
            </w:tcBorders>
            <w:shd w:val="clear" w:color="auto" w:fill="auto"/>
            <w:vAlign w:val="center"/>
            <w:hideMark/>
          </w:tcPr>
          <w:p w14:paraId="067803A0" w14:textId="77777777" w:rsidR="001A75A3" w:rsidRPr="008A401A" w:rsidRDefault="001A75A3" w:rsidP="00F33E61">
            <w:pPr>
              <w:jc w:val="center"/>
              <w:rPr>
                <w:rFonts w:eastAsia="仿宋" w:cs="Arial"/>
                <w:szCs w:val="18"/>
              </w:rPr>
            </w:pPr>
            <w:r w:rsidRPr="008A401A">
              <w:rPr>
                <w:rFonts w:eastAsia="仿宋" w:cs="Arial"/>
                <w:szCs w:val="18"/>
              </w:rPr>
              <w:t xml:space="preserve"> 1/6</w:t>
            </w:r>
          </w:p>
        </w:tc>
      </w:tr>
      <w:tr w:rsidR="001A75A3" w:rsidRPr="008A401A" w14:paraId="2C7452B7" w14:textId="77777777" w:rsidTr="0012622B">
        <w:trPr>
          <w:trHeight w:val="293"/>
        </w:trPr>
        <w:tc>
          <w:tcPr>
            <w:tcW w:w="1529" w:type="pct"/>
            <w:shd w:val="clear" w:color="auto" w:fill="auto"/>
            <w:vAlign w:val="center"/>
            <w:hideMark/>
          </w:tcPr>
          <w:p w14:paraId="551A53AB" w14:textId="77777777" w:rsidR="001A75A3" w:rsidRPr="008A401A" w:rsidRDefault="001A75A3" w:rsidP="00F33E61">
            <w:pPr>
              <w:jc w:val="center"/>
              <w:rPr>
                <w:rFonts w:eastAsia="仿宋" w:cs="Arial"/>
                <w:szCs w:val="18"/>
              </w:rPr>
            </w:pPr>
            <w:r w:rsidRPr="008A401A">
              <w:rPr>
                <w:rFonts w:eastAsia="仿宋" w:cs="Arial"/>
                <w:szCs w:val="18"/>
              </w:rPr>
              <w:t>Process</w:t>
            </w:r>
          </w:p>
        </w:tc>
        <w:tc>
          <w:tcPr>
            <w:tcW w:w="634" w:type="pct"/>
            <w:shd w:val="clear" w:color="auto" w:fill="auto"/>
            <w:vAlign w:val="center"/>
            <w:hideMark/>
          </w:tcPr>
          <w:p w14:paraId="6E08A2C2" w14:textId="77777777" w:rsidR="001A75A3" w:rsidRPr="008A401A" w:rsidRDefault="001A75A3" w:rsidP="00F33E61">
            <w:pPr>
              <w:jc w:val="center"/>
              <w:rPr>
                <w:rFonts w:eastAsia="仿宋" w:cs="Arial"/>
                <w:szCs w:val="18"/>
              </w:rPr>
            </w:pPr>
            <w:r w:rsidRPr="008A401A">
              <w:rPr>
                <w:rFonts w:eastAsia="仿宋" w:cs="Arial"/>
                <w:szCs w:val="18"/>
              </w:rPr>
              <w:t xml:space="preserve">3    </w:t>
            </w:r>
          </w:p>
        </w:tc>
        <w:tc>
          <w:tcPr>
            <w:tcW w:w="469" w:type="pct"/>
            <w:shd w:val="clear" w:color="auto" w:fill="auto"/>
            <w:vAlign w:val="center"/>
            <w:hideMark/>
          </w:tcPr>
          <w:p w14:paraId="5C58CBEF" w14:textId="77777777" w:rsidR="001A75A3" w:rsidRPr="008A401A" w:rsidRDefault="001A75A3" w:rsidP="00F33E61">
            <w:pPr>
              <w:jc w:val="center"/>
              <w:rPr>
                <w:rFonts w:eastAsia="仿宋" w:cs="Arial"/>
                <w:szCs w:val="18"/>
              </w:rPr>
            </w:pPr>
            <w:r w:rsidRPr="008A401A">
              <w:rPr>
                <w:rFonts w:eastAsia="仿宋" w:cs="Arial"/>
                <w:szCs w:val="18"/>
              </w:rPr>
              <w:t xml:space="preserve">1    </w:t>
            </w:r>
          </w:p>
        </w:tc>
        <w:tc>
          <w:tcPr>
            <w:tcW w:w="520" w:type="pct"/>
            <w:shd w:val="clear" w:color="auto" w:fill="auto"/>
            <w:vAlign w:val="center"/>
            <w:hideMark/>
          </w:tcPr>
          <w:p w14:paraId="5594798C" w14:textId="77777777" w:rsidR="001A75A3" w:rsidRPr="008A401A" w:rsidRDefault="001A75A3" w:rsidP="00F33E61">
            <w:pPr>
              <w:jc w:val="center"/>
              <w:rPr>
                <w:rFonts w:eastAsia="仿宋" w:cs="Arial"/>
                <w:szCs w:val="18"/>
              </w:rPr>
            </w:pPr>
            <w:r w:rsidRPr="008A401A">
              <w:rPr>
                <w:rFonts w:eastAsia="仿宋" w:cs="Arial"/>
                <w:szCs w:val="18"/>
              </w:rPr>
              <w:t xml:space="preserve"> 1/3</w:t>
            </w:r>
          </w:p>
        </w:tc>
        <w:tc>
          <w:tcPr>
            <w:tcW w:w="573" w:type="pct"/>
            <w:shd w:val="clear" w:color="auto" w:fill="auto"/>
            <w:vAlign w:val="center"/>
            <w:hideMark/>
          </w:tcPr>
          <w:p w14:paraId="3C07D503" w14:textId="77777777" w:rsidR="001A75A3" w:rsidRPr="008A401A" w:rsidRDefault="001A75A3" w:rsidP="00F33E61">
            <w:pPr>
              <w:jc w:val="center"/>
              <w:rPr>
                <w:rFonts w:eastAsia="仿宋" w:cs="Arial"/>
                <w:szCs w:val="18"/>
              </w:rPr>
            </w:pPr>
            <w:r w:rsidRPr="008A401A">
              <w:rPr>
                <w:rFonts w:eastAsia="仿宋" w:cs="Arial"/>
                <w:szCs w:val="18"/>
              </w:rPr>
              <w:t xml:space="preserve"> 1/2</w:t>
            </w:r>
          </w:p>
        </w:tc>
        <w:tc>
          <w:tcPr>
            <w:tcW w:w="520" w:type="pct"/>
            <w:shd w:val="clear" w:color="auto" w:fill="auto"/>
            <w:vAlign w:val="center"/>
            <w:hideMark/>
          </w:tcPr>
          <w:p w14:paraId="1383B62D" w14:textId="77777777" w:rsidR="001A75A3" w:rsidRPr="008A401A" w:rsidRDefault="001A75A3" w:rsidP="00F33E61">
            <w:pPr>
              <w:jc w:val="center"/>
              <w:rPr>
                <w:rFonts w:eastAsia="仿宋" w:cs="Arial"/>
                <w:szCs w:val="18"/>
              </w:rPr>
            </w:pPr>
            <w:r w:rsidRPr="008A401A">
              <w:rPr>
                <w:rFonts w:eastAsia="仿宋" w:cs="Arial"/>
                <w:szCs w:val="18"/>
              </w:rPr>
              <w:t xml:space="preserve">1    </w:t>
            </w:r>
          </w:p>
        </w:tc>
        <w:tc>
          <w:tcPr>
            <w:tcW w:w="755" w:type="pct"/>
            <w:shd w:val="clear" w:color="auto" w:fill="auto"/>
            <w:vAlign w:val="center"/>
            <w:hideMark/>
          </w:tcPr>
          <w:p w14:paraId="3EF086E8" w14:textId="77777777" w:rsidR="001A75A3" w:rsidRPr="008A401A" w:rsidRDefault="001A75A3" w:rsidP="00F33E61">
            <w:pPr>
              <w:jc w:val="center"/>
              <w:rPr>
                <w:rFonts w:eastAsia="仿宋" w:cs="Arial"/>
                <w:szCs w:val="18"/>
              </w:rPr>
            </w:pPr>
            <w:r w:rsidRPr="008A401A">
              <w:rPr>
                <w:rFonts w:eastAsia="仿宋" w:cs="Arial"/>
                <w:szCs w:val="18"/>
              </w:rPr>
              <w:t xml:space="preserve"> 1/4</w:t>
            </w:r>
          </w:p>
        </w:tc>
      </w:tr>
      <w:tr w:rsidR="001A75A3" w:rsidRPr="008A401A" w14:paraId="77AE7DC7" w14:textId="77777777" w:rsidTr="0012622B">
        <w:trPr>
          <w:trHeight w:val="293"/>
        </w:trPr>
        <w:tc>
          <w:tcPr>
            <w:tcW w:w="1529" w:type="pct"/>
            <w:shd w:val="clear" w:color="auto" w:fill="auto"/>
            <w:vAlign w:val="center"/>
            <w:hideMark/>
          </w:tcPr>
          <w:p w14:paraId="0596078F" w14:textId="77777777" w:rsidR="001A75A3" w:rsidRPr="008A401A" w:rsidRDefault="001A75A3" w:rsidP="00F33E61">
            <w:pPr>
              <w:jc w:val="center"/>
              <w:rPr>
                <w:rFonts w:eastAsia="仿宋" w:cs="Arial"/>
                <w:szCs w:val="18"/>
              </w:rPr>
            </w:pPr>
            <w:r w:rsidRPr="008A401A">
              <w:rPr>
                <w:rFonts w:eastAsia="仿宋" w:cs="Arial"/>
                <w:szCs w:val="18"/>
              </w:rPr>
              <w:t>Reaction</w:t>
            </w:r>
          </w:p>
        </w:tc>
        <w:tc>
          <w:tcPr>
            <w:tcW w:w="634" w:type="pct"/>
            <w:shd w:val="clear" w:color="auto" w:fill="auto"/>
            <w:vAlign w:val="center"/>
            <w:hideMark/>
          </w:tcPr>
          <w:p w14:paraId="67AC9A97" w14:textId="77777777" w:rsidR="001A75A3" w:rsidRPr="008A401A" w:rsidRDefault="001A75A3" w:rsidP="00F33E61">
            <w:pPr>
              <w:jc w:val="center"/>
              <w:rPr>
                <w:rFonts w:eastAsia="仿宋" w:cs="Arial"/>
                <w:szCs w:val="18"/>
              </w:rPr>
            </w:pPr>
            <w:r w:rsidRPr="008A401A">
              <w:rPr>
                <w:rFonts w:eastAsia="仿宋" w:cs="Arial"/>
                <w:szCs w:val="18"/>
              </w:rPr>
              <w:t xml:space="preserve">5    </w:t>
            </w:r>
          </w:p>
        </w:tc>
        <w:tc>
          <w:tcPr>
            <w:tcW w:w="469" w:type="pct"/>
            <w:shd w:val="clear" w:color="auto" w:fill="auto"/>
            <w:vAlign w:val="center"/>
            <w:hideMark/>
          </w:tcPr>
          <w:p w14:paraId="63B3820C" w14:textId="77777777" w:rsidR="001A75A3" w:rsidRPr="008A401A" w:rsidRDefault="001A75A3" w:rsidP="00F33E61">
            <w:pPr>
              <w:jc w:val="center"/>
              <w:rPr>
                <w:rFonts w:eastAsia="仿宋" w:cs="Arial"/>
                <w:szCs w:val="18"/>
              </w:rPr>
            </w:pPr>
            <w:r w:rsidRPr="008A401A">
              <w:rPr>
                <w:rFonts w:eastAsia="仿宋" w:cs="Arial"/>
                <w:szCs w:val="18"/>
              </w:rPr>
              <w:t xml:space="preserve">3    </w:t>
            </w:r>
          </w:p>
        </w:tc>
        <w:tc>
          <w:tcPr>
            <w:tcW w:w="520" w:type="pct"/>
            <w:shd w:val="clear" w:color="auto" w:fill="auto"/>
            <w:vAlign w:val="center"/>
            <w:hideMark/>
          </w:tcPr>
          <w:p w14:paraId="7890F57A" w14:textId="77777777" w:rsidR="001A75A3" w:rsidRPr="008A401A" w:rsidRDefault="001A75A3" w:rsidP="00F33E61">
            <w:pPr>
              <w:jc w:val="center"/>
              <w:rPr>
                <w:rFonts w:eastAsia="仿宋" w:cs="Arial"/>
                <w:szCs w:val="18"/>
              </w:rPr>
            </w:pPr>
            <w:r w:rsidRPr="008A401A">
              <w:rPr>
                <w:rFonts w:eastAsia="仿宋" w:cs="Arial"/>
                <w:szCs w:val="18"/>
              </w:rPr>
              <w:t xml:space="preserve">1    </w:t>
            </w:r>
          </w:p>
        </w:tc>
        <w:tc>
          <w:tcPr>
            <w:tcW w:w="573" w:type="pct"/>
            <w:shd w:val="clear" w:color="auto" w:fill="auto"/>
            <w:vAlign w:val="center"/>
            <w:hideMark/>
          </w:tcPr>
          <w:p w14:paraId="6C263178" w14:textId="77777777" w:rsidR="001A75A3" w:rsidRPr="008A401A" w:rsidRDefault="001A75A3" w:rsidP="00F33E61">
            <w:pPr>
              <w:jc w:val="center"/>
              <w:rPr>
                <w:rFonts w:eastAsia="仿宋" w:cs="Arial"/>
                <w:szCs w:val="18"/>
              </w:rPr>
            </w:pPr>
            <w:r w:rsidRPr="008A401A">
              <w:rPr>
                <w:rFonts w:eastAsia="仿宋" w:cs="Arial"/>
                <w:szCs w:val="18"/>
              </w:rPr>
              <w:t xml:space="preserve">3    </w:t>
            </w:r>
          </w:p>
        </w:tc>
        <w:tc>
          <w:tcPr>
            <w:tcW w:w="520" w:type="pct"/>
            <w:shd w:val="clear" w:color="auto" w:fill="auto"/>
            <w:vAlign w:val="center"/>
            <w:hideMark/>
          </w:tcPr>
          <w:p w14:paraId="1044B505" w14:textId="77777777" w:rsidR="001A75A3" w:rsidRPr="008A401A" w:rsidRDefault="001A75A3" w:rsidP="00F33E61">
            <w:pPr>
              <w:jc w:val="center"/>
              <w:rPr>
                <w:rFonts w:eastAsia="仿宋" w:cs="Arial"/>
                <w:szCs w:val="18"/>
              </w:rPr>
            </w:pPr>
            <w:r w:rsidRPr="008A401A">
              <w:rPr>
                <w:rFonts w:eastAsia="仿宋" w:cs="Arial"/>
                <w:szCs w:val="18"/>
              </w:rPr>
              <w:t xml:space="preserve">2    </w:t>
            </w:r>
          </w:p>
        </w:tc>
        <w:tc>
          <w:tcPr>
            <w:tcW w:w="755" w:type="pct"/>
            <w:shd w:val="clear" w:color="auto" w:fill="auto"/>
            <w:vAlign w:val="center"/>
            <w:hideMark/>
          </w:tcPr>
          <w:p w14:paraId="36E12E00" w14:textId="77777777" w:rsidR="001A75A3" w:rsidRPr="008A401A" w:rsidRDefault="001A75A3" w:rsidP="00F33E61">
            <w:pPr>
              <w:jc w:val="center"/>
              <w:rPr>
                <w:rFonts w:eastAsia="仿宋" w:cs="Arial"/>
                <w:szCs w:val="18"/>
              </w:rPr>
            </w:pPr>
            <w:r w:rsidRPr="008A401A">
              <w:rPr>
                <w:rFonts w:eastAsia="仿宋" w:cs="Arial"/>
                <w:szCs w:val="18"/>
              </w:rPr>
              <w:t xml:space="preserve"> 1/2</w:t>
            </w:r>
          </w:p>
        </w:tc>
      </w:tr>
      <w:tr w:rsidR="001A75A3" w:rsidRPr="008A401A" w14:paraId="5AF65E22" w14:textId="77777777" w:rsidTr="0012622B">
        <w:trPr>
          <w:trHeight w:val="285"/>
        </w:trPr>
        <w:tc>
          <w:tcPr>
            <w:tcW w:w="1529" w:type="pct"/>
            <w:shd w:val="clear" w:color="auto" w:fill="auto"/>
            <w:vAlign w:val="center"/>
            <w:hideMark/>
          </w:tcPr>
          <w:p w14:paraId="7C1C3BF1" w14:textId="77777777" w:rsidR="001A75A3" w:rsidRPr="008A401A" w:rsidRDefault="001A75A3" w:rsidP="00F33E61">
            <w:pPr>
              <w:jc w:val="center"/>
              <w:rPr>
                <w:rFonts w:eastAsia="仿宋" w:cs="Arial"/>
                <w:szCs w:val="18"/>
              </w:rPr>
            </w:pPr>
            <w:r w:rsidRPr="008A401A">
              <w:rPr>
                <w:rFonts w:eastAsia="仿宋" w:cs="Arial"/>
                <w:szCs w:val="18"/>
              </w:rPr>
              <w:t>Equipment</w:t>
            </w:r>
          </w:p>
        </w:tc>
        <w:tc>
          <w:tcPr>
            <w:tcW w:w="634" w:type="pct"/>
            <w:shd w:val="clear" w:color="auto" w:fill="auto"/>
            <w:vAlign w:val="center"/>
            <w:hideMark/>
          </w:tcPr>
          <w:p w14:paraId="6234881B" w14:textId="77777777" w:rsidR="001A75A3" w:rsidRPr="008A401A" w:rsidRDefault="001A75A3" w:rsidP="00F33E61">
            <w:pPr>
              <w:jc w:val="center"/>
              <w:rPr>
                <w:rFonts w:eastAsia="仿宋" w:cs="Arial"/>
                <w:szCs w:val="18"/>
              </w:rPr>
            </w:pPr>
            <w:r w:rsidRPr="008A401A">
              <w:rPr>
                <w:rFonts w:eastAsia="仿宋" w:cs="Arial"/>
                <w:szCs w:val="18"/>
              </w:rPr>
              <w:t xml:space="preserve">4    </w:t>
            </w:r>
          </w:p>
        </w:tc>
        <w:tc>
          <w:tcPr>
            <w:tcW w:w="469" w:type="pct"/>
            <w:shd w:val="clear" w:color="auto" w:fill="auto"/>
            <w:vAlign w:val="center"/>
            <w:hideMark/>
          </w:tcPr>
          <w:p w14:paraId="145661E2" w14:textId="77777777" w:rsidR="001A75A3" w:rsidRPr="008A401A" w:rsidRDefault="001A75A3" w:rsidP="00F33E61">
            <w:pPr>
              <w:jc w:val="center"/>
              <w:rPr>
                <w:rFonts w:eastAsia="仿宋" w:cs="Arial"/>
                <w:szCs w:val="18"/>
              </w:rPr>
            </w:pPr>
            <w:r w:rsidRPr="008A401A">
              <w:rPr>
                <w:rFonts w:eastAsia="仿宋" w:cs="Arial"/>
                <w:szCs w:val="18"/>
              </w:rPr>
              <w:t xml:space="preserve">2    </w:t>
            </w:r>
          </w:p>
        </w:tc>
        <w:tc>
          <w:tcPr>
            <w:tcW w:w="520" w:type="pct"/>
            <w:shd w:val="clear" w:color="auto" w:fill="auto"/>
            <w:vAlign w:val="center"/>
            <w:hideMark/>
          </w:tcPr>
          <w:p w14:paraId="50F5C80F" w14:textId="77777777" w:rsidR="001A75A3" w:rsidRPr="008A401A" w:rsidRDefault="001A75A3" w:rsidP="00F33E61">
            <w:pPr>
              <w:jc w:val="center"/>
              <w:rPr>
                <w:rFonts w:eastAsia="仿宋" w:cs="Arial"/>
                <w:szCs w:val="18"/>
              </w:rPr>
            </w:pPr>
            <w:r w:rsidRPr="008A401A">
              <w:rPr>
                <w:rFonts w:eastAsia="仿宋" w:cs="Arial"/>
                <w:szCs w:val="18"/>
              </w:rPr>
              <w:t xml:space="preserve"> 1/3</w:t>
            </w:r>
          </w:p>
        </w:tc>
        <w:tc>
          <w:tcPr>
            <w:tcW w:w="573" w:type="pct"/>
            <w:shd w:val="clear" w:color="auto" w:fill="auto"/>
            <w:vAlign w:val="center"/>
            <w:hideMark/>
          </w:tcPr>
          <w:p w14:paraId="0008C0B1" w14:textId="77777777" w:rsidR="001A75A3" w:rsidRPr="008A401A" w:rsidRDefault="001A75A3" w:rsidP="00F33E61">
            <w:pPr>
              <w:jc w:val="center"/>
              <w:rPr>
                <w:rFonts w:eastAsia="仿宋" w:cs="Arial"/>
                <w:szCs w:val="18"/>
              </w:rPr>
            </w:pPr>
            <w:r w:rsidRPr="008A401A">
              <w:rPr>
                <w:rFonts w:eastAsia="仿宋" w:cs="Arial"/>
                <w:szCs w:val="18"/>
              </w:rPr>
              <w:t xml:space="preserve">1    </w:t>
            </w:r>
          </w:p>
        </w:tc>
        <w:tc>
          <w:tcPr>
            <w:tcW w:w="520" w:type="pct"/>
            <w:shd w:val="clear" w:color="auto" w:fill="auto"/>
            <w:vAlign w:val="center"/>
            <w:hideMark/>
          </w:tcPr>
          <w:p w14:paraId="6AD50696" w14:textId="77777777" w:rsidR="001A75A3" w:rsidRPr="008A401A" w:rsidRDefault="001A75A3" w:rsidP="00F33E61">
            <w:pPr>
              <w:jc w:val="center"/>
              <w:rPr>
                <w:rFonts w:eastAsia="仿宋" w:cs="Arial"/>
                <w:szCs w:val="18"/>
              </w:rPr>
            </w:pPr>
            <w:r w:rsidRPr="008A401A">
              <w:rPr>
                <w:rFonts w:eastAsia="仿宋" w:cs="Arial"/>
                <w:szCs w:val="18"/>
              </w:rPr>
              <w:t xml:space="preserve"> 1/2</w:t>
            </w:r>
          </w:p>
        </w:tc>
        <w:tc>
          <w:tcPr>
            <w:tcW w:w="755" w:type="pct"/>
            <w:shd w:val="clear" w:color="auto" w:fill="auto"/>
            <w:vAlign w:val="center"/>
            <w:hideMark/>
          </w:tcPr>
          <w:p w14:paraId="096AA2DB" w14:textId="77777777" w:rsidR="001A75A3" w:rsidRPr="008A401A" w:rsidRDefault="001A75A3" w:rsidP="00F33E61">
            <w:pPr>
              <w:jc w:val="center"/>
              <w:rPr>
                <w:rFonts w:eastAsia="仿宋" w:cs="Arial"/>
                <w:szCs w:val="18"/>
              </w:rPr>
            </w:pPr>
            <w:r w:rsidRPr="008A401A">
              <w:rPr>
                <w:rFonts w:eastAsia="仿宋" w:cs="Arial"/>
                <w:szCs w:val="18"/>
              </w:rPr>
              <w:t xml:space="preserve"> 1/3</w:t>
            </w:r>
          </w:p>
        </w:tc>
      </w:tr>
      <w:tr w:rsidR="001A75A3" w:rsidRPr="008A401A" w14:paraId="5C820F2A" w14:textId="77777777" w:rsidTr="0012622B">
        <w:trPr>
          <w:trHeight w:val="293"/>
        </w:trPr>
        <w:tc>
          <w:tcPr>
            <w:tcW w:w="1529" w:type="pct"/>
            <w:shd w:val="clear" w:color="auto" w:fill="auto"/>
            <w:vAlign w:val="center"/>
            <w:hideMark/>
          </w:tcPr>
          <w:p w14:paraId="38862F7E" w14:textId="77777777" w:rsidR="001A75A3" w:rsidRPr="008A401A" w:rsidRDefault="001A75A3" w:rsidP="00F33E61">
            <w:pPr>
              <w:jc w:val="center"/>
              <w:rPr>
                <w:rFonts w:eastAsia="仿宋" w:cs="Arial"/>
                <w:szCs w:val="18"/>
              </w:rPr>
            </w:pPr>
            <w:r w:rsidRPr="008A401A">
              <w:rPr>
                <w:rFonts w:eastAsia="仿宋" w:cs="Arial"/>
                <w:szCs w:val="18"/>
              </w:rPr>
              <w:t>Activity</w:t>
            </w:r>
          </w:p>
        </w:tc>
        <w:tc>
          <w:tcPr>
            <w:tcW w:w="634" w:type="pct"/>
            <w:shd w:val="clear" w:color="auto" w:fill="auto"/>
            <w:vAlign w:val="center"/>
            <w:hideMark/>
          </w:tcPr>
          <w:p w14:paraId="0ED8D941" w14:textId="77777777" w:rsidR="001A75A3" w:rsidRPr="008A401A" w:rsidRDefault="001A75A3" w:rsidP="00F33E61">
            <w:pPr>
              <w:jc w:val="center"/>
              <w:rPr>
                <w:rFonts w:eastAsia="仿宋" w:cs="Arial"/>
                <w:szCs w:val="18"/>
              </w:rPr>
            </w:pPr>
            <w:r w:rsidRPr="008A401A">
              <w:rPr>
                <w:rFonts w:eastAsia="仿宋" w:cs="Arial"/>
                <w:szCs w:val="18"/>
              </w:rPr>
              <w:t xml:space="preserve">3    </w:t>
            </w:r>
          </w:p>
        </w:tc>
        <w:tc>
          <w:tcPr>
            <w:tcW w:w="469" w:type="pct"/>
            <w:shd w:val="clear" w:color="auto" w:fill="auto"/>
            <w:vAlign w:val="center"/>
            <w:hideMark/>
          </w:tcPr>
          <w:p w14:paraId="30135C58" w14:textId="77777777" w:rsidR="001A75A3" w:rsidRPr="008A401A" w:rsidRDefault="001A75A3" w:rsidP="00F33E61">
            <w:pPr>
              <w:jc w:val="center"/>
              <w:rPr>
                <w:rFonts w:eastAsia="仿宋" w:cs="Arial"/>
                <w:szCs w:val="18"/>
              </w:rPr>
            </w:pPr>
            <w:r w:rsidRPr="008A401A">
              <w:rPr>
                <w:rFonts w:eastAsia="仿宋" w:cs="Arial"/>
                <w:szCs w:val="18"/>
              </w:rPr>
              <w:t xml:space="preserve">1    </w:t>
            </w:r>
          </w:p>
        </w:tc>
        <w:tc>
          <w:tcPr>
            <w:tcW w:w="520" w:type="pct"/>
            <w:shd w:val="clear" w:color="auto" w:fill="auto"/>
            <w:vAlign w:val="center"/>
            <w:hideMark/>
          </w:tcPr>
          <w:p w14:paraId="71CA6B9D" w14:textId="77777777" w:rsidR="001A75A3" w:rsidRPr="008A401A" w:rsidRDefault="001A75A3" w:rsidP="00F33E61">
            <w:pPr>
              <w:jc w:val="center"/>
              <w:rPr>
                <w:rFonts w:eastAsia="仿宋" w:cs="Arial"/>
                <w:szCs w:val="18"/>
              </w:rPr>
            </w:pPr>
            <w:r w:rsidRPr="008A401A">
              <w:rPr>
                <w:rFonts w:eastAsia="仿宋" w:cs="Arial"/>
                <w:szCs w:val="18"/>
              </w:rPr>
              <w:t xml:space="preserve"> 1/2</w:t>
            </w:r>
          </w:p>
        </w:tc>
        <w:tc>
          <w:tcPr>
            <w:tcW w:w="573" w:type="pct"/>
            <w:shd w:val="clear" w:color="auto" w:fill="auto"/>
            <w:vAlign w:val="center"/>
            <w:hideMark/>
          </w:tcPr>
          <w:p w14:paraId="7D8F6975" w14:textId="77777777" w:rsidR="001A75A3" w:rsidRPr="008A401A" w:rsidRDefault="001A75A3" w:rsidP="00F33E61">
            <w:pPr>
              <w:jc w:val="center"/>
              <w:rPr>
                <w:rFonts w:eastAsia="仿宋" w:cs="Arial"/>
                <w:szCs w:val="18"/>
              </w:rPr>
            </w:pPr>
            <w:r w:rsidRPr="008A401A">
              <w:rPr>
                <w:rFonts w:eastAsia="仿宋" w:cs="Arial"/>
                <w:szCs w:val="18"/>
              </w:rPr>
              <w:t xml:space="preserve">2    </w:t>
            </w:r>
          </w:p>
        </w:tc>
        <w:tc>
          <w:tcPr>
            <w:tcW w:w="520" w:type="pct"/>
            <w:shd w:val="clear" w:color="auto" w:fill="auto"/>
            <w:vAlign w:val="center"/>
            <w:hideMark/>
          </w:tcPr>
          <w:p w14:paraId="01CD9E6D" w14:textId="77777777" w:rsidR="001A75A3" w:rsidRPr="008A401A" w:rsidRDefault="001A75A3" w:rsidP="00F33E61">
            <w:pPr>
              <w:jc w:val="center"/>
              <w:rPr>
                <w:rFonts w:eastAsia="仿宋" w:cs="Arial"/>
                <w:szCs w:val="18"/>
              </w:rPr>
            </w:pPr>
            <w:r w:rsidRPr="008A401A">
              <w:rPr>
                <w:rFonts w:eastAsia="仿宋" w:cs="Arial"/>
                <w:szCs w:val="18"/>
              </w:rPr>
              <w:t xml:space="preserve">1    </w:t>
            </w:r>
          </w:p>
        </w:tc>
        <w:tc>
          <w:tcPr>
            <w:tcW w:w="755" w:type="pct"/>
            <w:shd w:val="clear" w:color="auto" w:fill="auto"/>
            <w:vAlign w:val="center"/>
            <w:hideMark/>
          </w:tcPr>
          <w:p w14:paraId="484364E2" w14:textId="77777777" w:rsidR="001A75A3" w:rsidRPr="008A401A" w:rsidRDefault="001A75A3" w:rsidP="00F33E61">
            <w:pPr>
              <w:jc w:val="center"/>
              <w:rPr>
                <w:rFonts w:eastAsia="仿宋" w:cs="Arial"/>
                <w:szCs w:val="18"/>
              </w:rPr>
            </w:pPr>
            <w:r w:rsidRPr="008A401A">
              <w:rPr>
                <w:rFonts w:eastAsia="仿宋" w:cs="Arial"/>
                <w:szCs w:val="18"/>
              </w:rPr>
              <w:t xml:space="preserve"> 1/3</w:t>
            </w:r>
          </w:p>
        </w:tc>
      </w:tr>
      <w:tr w:rsidR="001A75A3" w:rsidRPr="008A401A" w14:paraId="471A7790" w14:textId="77777777" w:rsidTr="00A9320D">
        <w:trPr>
          <w:trHeight w:val="300"/>
        </w:trPr>
        <w:tc>
          <w:tcPr>
            <w:tcW w:w="1529" w:type="pct"/>
            <w:tcBorders>
              <w:bottom w:val="single" w:sz="12" w:space="0" w:color="008000"/>
            </w:tcBorders>
            <w:shd w:val="clear" w:color="auto" w:fill="auto"/>
            <w:vAlign w:val="center"/>
            <w:hideMark/>
          </w:tcPr>
          <w:p w14:paraId="048C9FAB" w14:textId="77777777" w:rsidR="001A75A3" w:rsidRPr="008A401A" w:rsidRDefault="001A75A3" w:rsidP="00F33E61">
            <w:pPr>
              <w:jc w:val="center"/>
              <w:rPr>
                <w:rFonts w:eastAsia="仿宋" w:cs="Arial"/>
                <w:szCs w:val="18"/>
              </w:rPr>
            </w:pPr>
            <w:r w:rsidRPr="008A401A">
              <w:rPr>
                <w:rFonts w:eastAsia="仿宋" w:cs="Arial"/>
                <w:szCs w:val="18"/>
              </w:rPr>
              <w:t>consequences</w:t>
            </w:r>
          </w:p>
        </w:tc>
        <w:tc>
          <w:tcPr>
            <w:tcW w:w="634" w:type="pct"/>
            <w:tcBorders>
              <w:bottom w:val="single" w:sz="12" w:space="0" w:color="008000"/>
            </w:tcBorders>
            <w:shd w:val="clear" w:color="auto" w:fill="auto"/>
            <w:vAlign w:val="center"/>
            <w:hideMark/>
          </w:tcPr>
          <w:p w14:paraId="21D61BB2" w14:textId="77777777" w:rsidR="001A75A3" w:rsidRPr="008A401A" w:rsidRDefault="001A75A3" w:rsidP="00F33E61">
            <w:pPr>
              <w:jc w:val="center"/>
              <w:rPr>
                <w:rFonts w:eastAsia="仿宋" w:cs="Arial"/>
                <w:szCs w:val="18"/>
              </w:rPr>
            </w:pPr>
            <w:r w:rsidRPr="008A401A">
              <w:rPr>
                <w:rFonts w:eastAsia="仿宋" w:cs="Arial"/>
                <w:szCs w:val="18"/>
              </w:rPr>
              <w:t xml:space="preserve">6    </w:t>
            </w:r>
          </w:p>
        </w:tc>
        <w:tc>
          <w:tcPr>
            <w:tcW w:w="469" w:type="pct"/>
            <w:tcBorders>
              <w:bottom w:val="single" w:sz="12" w:space="0" w:color="008000"/>
            </w:tcBorders>
            <w:shd w:val="clear" w:color="auto" w:fill="auto"/>
            <w:vAlign w:val="center"/>
            <w:hideMark/>
          </w:tcPr>
          <w:p w14:paraId="2DF13476" w14:textId="77777777" w:rsidR="001A75A3" w:rsidRPr="008A401A" w:rsidRDefault="001A75A3" w:rsidP="00F33E61">
            <w:pPr>
              <w:jc w:val="center"/>
              <w:rPr>
                <w:rFonts w:eastAsia="仿宋" w:cs="Arial"/>
                <w:szCs w:val="18"/>
              </w:rPr>
            </w:pPr>
            <w:r w:rsidRPr="008A401A">
              <w:rPr>
                <w:rFonts w:eastAsia="仿宋" w:cs="Arial"/>
                <w:szCs w:val="18"/>
              </w:rPr>
              <w:t xml:space="preserve">4    </w:t>
            </w:r>
          </w:p>
        </w:tc>
        <w:tc>
          <w:tcPr>
            <w:tcW w:w="520" w:type="pct"/>
            <w:tcBorders>
              <w:bottom w:val="single" w:sz="12" w:space="0" w:color="008000"/>
            </w:tcBorders>
            <w:shd w:val="clear" w:color="auto" w:fill="auto"/>
            <w:vAlign w:val="center"/>
            <w:hideMark/>
          </w:tcPr>
          <w:p w14:paraId="19766092" w14:textId="77777777" w:rsidR="001A75A3" w:rsidRPr="008A401A" w:rsidRDefault="001A75A3" w:rsidP="00F33E61">
            <w:pPr>
              <w:jc w:val="center"/>
              <w:rPr>
                <w:rFonts w:eastAsia="仿宋" w:cs="Arial"/>
                <w:szCs w:val="18"/>
              </w:rPr>
            </w:pPr>
            <w:r w:rsidRPr="008A401A">
              <w:rPr>
                <w:rFonts w:eastAsia="仿宋" w:cs="Arial"/>
                <w:szCs w:val="18"/>
              </w:rPr>
              <w:t xml:space="preserve">2    </w:t>
            </w:r>
          </w:p>
        </w:tc>
        <w:tc>
          <w:tcPr>
            <w:tcW w:w="573" w:type="pct"/>
            <w:tcBorders>
              <w:bottom w:val="single" w:sz="12" w:space="0" w:color="008000"/>
            </w:tcBorders>
            <w:shd w:val="clear" w:color="auto" w:fill="auto"/>
            <w:vAlign w:val="center"/>
            <w:hideMark/>
          </w:tcPr>
          <w:p w14:paraId="6D638260" w14:textId="77777777" w:rsidR="001A75A3" w:rsidRPr="008A401A" w:rsidRDefault="001A75A3" w:rsidP="00F33E61">
            <w:pPr>
              <w:jc w:val="center"/>
              <w:rPr>
                <w:rFonts w:eastAsia="仿宋" w:cs="Arial"/>
                <w:szCs w:val="18"/>
              </w:rPr>
            </w:pPr>
            <w:r w:rsidRPr="008A401A">
              <w:rPr>
                <w:rFonts w:eastAsia="仿宋" w:cs="Arial"/>
                <w:szCs w:val="18"/>
              </w:rPr>
              <w:t xml:space="preserve">3    </w:t>
            </w:r>
          </w:p>
        </w:tc>
        <w:tc>
          <w:tcPr>
            <w:tcW w:w="520" w:type="pct"/>
            <w:tcBorders>
              <w:bottom w:val="single" w:sz="12" w:space="0" w:color="008000"/>
            </w:tcBorders>
            <w:shd w:val="clear" w:color="auto" w:fill="auto"/>
            <w:vAlign w:val="center"/>
            <w:hideMark/>
          </w:tcPr>
          <w:p w14:paraId="1D8D85B4" w14:textId="77777777" w:rsidR="001A75A3" w:rsidRPr="008A401A" w:rsidRDefault="001A75A3" w:rsidP="00F33E61">
            <w:pPr>
              <w:jc w:val="center"/>
              <w:rPr>
                <w:rFonts w:eastAsia="仿宋" w:cs="Arial"/>
                <w:szCs w:val="18"/>
              </w:rPr>
            </w:pPr>
            <w:r w:rsidRPr="008A401A">
              <w:rPr>
                <w:rFonts w:eastAsia="仿宋" w:cs="Arial"/>
                <w:szCs w:val="18"/>
              </w:rPr>
              <w:t xml:space="preserve">3    </w:t>
            </w:r>
          </w:p>
        </w:tc>
        <w:tc>
          <w:tcPr>
            <w:tcW w:w="755" w:type="pct"/>
            <w:tcBorders>
              <w:bottom w:val="single" w:sz="12" w:space="0" w:color="008000"/>
            </w:tcBorders>
            <w:shd w:val="clear" w:color="auto" w:fill="auto"/>
            <w:vAlign w:val="center"/>
            <w:hideMark/>
          </w:tcPr>
          <w:p w14:paraId="594F025C" w14:textId="77777777" w:rsidR="001A75A3" w:rsidRPr="008A401A" w:rsidRDefault="001A75A3" w:rsidP="00F33E61">
            <w:pPr>
              <w:jc w:val="center"/>
              <w:rPr>
                <w:rFonts w:eastAsia="仿宋" w:cs="Arial"/>
                <w:szCs w:val="18"/>
              </w:rPr>
            </w:pPr>
            <w:r w:rsidRPr="008A401A">
              <w:rPr>
                <w:rFonts w:eastAsia="仿宋" w:cs="Arial"/>
                <w:szCs w:val="18"/>
              </w:rPr>
              <w:t xml:space="preserve">1    </w:t>
            </w:r>
          </w:p>
        </w:tc>
      </w:tr>
    </w:tbl>
    <w:p w14:paraId="5D69979E" w14:textId="673067CE" w:rsidR="001A75A3" w:rsidRPr="008A401A" w:rsidRDefault="001A75A3" w:rsidP="00C80428">
      <w:pPr>
        <w:pStyle w:val="ad"/>
        <w:keepNext/>
        <w:spacing w:line="240" w:lineRule="atLeast"/>
        <w:jc w:val="center"/>
        <w:rPr>
          <w:rStyle w:val="CETCaptionCarattere"/>
          <w:rFonts w:cs="Arial"/>
          <w:b w:val="0"/>
          <w:bCs w:val="0"/>
          <w:iCs/>
          <w:color w:val="auto"/>
        </w:rPr>
      </w:pPr>
      <w:bookmarkStart w:id="4" w:name="_Ref184739897"/>
      <w:r w:rsidRPr="008A401A">
        <w:rPr>
          <w:rStyle w:val="CETCaptionCarattere"/>
          <w:rFonts w:cs="Arial"/>
          <w:b w:val="0"/>
          <w:bCs w:val="0"/>
          <w:iCs/>
          <w:color w:val="auto"/>
        </w:rPr>
        <w:t xml:space="preserve">Table </w:t>
      </w:r>
      <w:r w:rsidRPr="008A401A">
        <w:rPr>
          <w:rStyle w:val="CETCaptionCarattere"/>
          <w:rFonts w:cs="Arial"/>
          <w:iCs/>
          <w:color w:val="auto"/>
        </w:rPr>
        <w:fldChar w:fldCharType="begin"/>
      </w:r>
      <w:r w:rsidRPr="008A401A">
        <w:rPr>
          <w:rStyle w:val="CETCaptionCarattere"/>
          <w:rFonts w:cs="Arial"/>
          <w:b w:val="0"/>
          <w:bCs w:val="0"/>
          <w:iCs/>
          <w:color w:val="auto"/>
        </w:rPr>
        <w:instrText xml:space="preserve"> SEQ Table \* ARABIC </w:instrText>
      </w:r>
      <w:r w:rsidRPr="008A401A">
        <w:rPr>
          <w:rStyle w:val="CETCaptionCarattere"/>
          <w:rFonts w:cs="Arial"/>
          <w:iCs/>
          <w:color w:val="auto"/>
        </w:rPr>
        <w:fldChar w:fldCharType="separate"/>
      </w:r>
      <w:r w:rsidR="00F004FF" w:rsidRPr="008A401A">
        <w:rPr>
          <w:rStyle w:val="CETCaptionCarattere"/>
          <w:rFonts w:cs="Arial"/>
          <w:b w:val="0"/>
          <w:bCs w:val="0"/>
          <w:iCs/>
          <w:noProof/>
          <w:color w:val="auto"/>
        </w:rPr>
        <w:t>4</w:t>
      </w:r>
      <w:r w:rsidRPr="008A401A">
        <w:rPr>
          <w:rStyle w:val="CETCaptionCarattere"/>
          <w:rFonts w:cs="Arial"/>
          <w:iCs/>
          <w:color w:val="auto"/>
        </w:rPr>
        <w:fldChar w:fldCharType="end"/>
      </w:r>
      <w:bookmarkEnd w:id="4"/>
      <w:r w:rsidR="00115898" w:rsidRPr="008A401A">
        <w:rPr>
          <w:rStyle w:val="CETCaptionCarattere"/>
          <w:rFonts w:eastAsiaTheme="minorEastAsia" w:cs="Arial"/>
          <w:iCs/>
          <w:color w:val="auto"/>
          <w:lang w:eastAsia="zh-CN"/>
        </w:rPr>
        <w:t>:</w:t>
      </w:r>
      <w:r w:rsidRPr="008A401A">
        <w:rPr>
          <w:rStyle w:val="CETCaptionCarattere"/>
          <w:rFonts w:cs="Arial"/>
          <w:b w:val="0"/>
          <w:bCs w:val="0"/>
          <w:iCs/>
          <w:color w:val="auto"/>
        </w:rPr>
        <w:t xml:space="preserve"> Verification of scoring weights</w:t>
      </w:r>
    </w:p>
    <w:tbl>
      <w:tblPr>
        <w:tblW w:w="5000" w:type="pct"/>
        <w:tblBorders>
          <w:top w:val="single" w:sz="8" w:space="0" w:color="auto"/>
          <w:bottom w:val="single" w:sz="8" w:space="0" w:color="auto"/>
        </w:tblBorders>
        <w:tblLayout w:type="fixed"/>
        <w:tblLook w:val="04A0" w:firstRow="1" w:lastRow="0" w:firstColumn="1" w:lastColumn="0" w:noHBand="0" w:noVBand="1"/>
      </w:tblPr>
      <w:tblGrid>
        <w:gridCol w:w="993"/>
        <w:gridCol w:w="920"/>
        <w:gridCol w:w="915"/>
        <w:gridCol w:w="914"/>
        <w:gridCol w:w="914"/>
        <w:gridCol w:w="914"/>
        <w:gridCol w:w="914"/>
        <w:gridCol w:w="914"/>
        <w:gridCol w:w="914"/>
      </w:tblGrid>
      <w:tr w:rsidR="001A75A3" w:rsidRPr="009710F7" w14:paraId="3C28984D" w14:textId="77777777" w:rsidTr="007A399D">
        <w:trPr>
          <w:trHeight w:val="300"/>
        </w:trPr>
        <w:tc>
          <w:tcPr>
            <w:tcW w:w="597" w:type="pct"/>
            <w:tcBorders>
              <w:top w:val="single" w:sz="12" w:space="0" w:color="008000"/>
              <w:bottom w:val="single" w:sz="6" w:space="0" w:color="008000"/>
            </w:tcBorders>
            <w:shd w:val="clear" w:color="auto" w:fill="auto"/>
            <w:noWrap/>
            <w:vAlign w:val="center"/>
            <w:hideMark/>
          </w:tcPr>
          <w:p w14:paraId="36EA6D1A" w14:textId="77777777" w:rsidR="001A75A3" w:rsidRPr="009710F7" w:rsidRDefault="001A75A3" w:rsidP="001241E6">
            <w:pPr>
              <w:jc w:val="center"/>
              <w:rPr>
                <w:rFonts w:eastAsia="仿宋" w:cs="Arial"/>
                <w:szCs w:val="18"/>
              </w:rPr>
            </w:pPr>
            <w:r w:rsidRPr="009710F7">
              <w:rPr>
                <w:rFonts w:eastAsia="仿宋" w:cs="Arial"/>
                <w:szCs w:val="18"/>
              </w:rPr>
              <w:t>Column sum</w:t>
            </w:r>
          </w:p>
        </w:tc>
        <w:tc>
          <w:tcPr>
            <w:tcW w:w="553" w:type="pct"/>
            <w:tcBorders>
              <w:top w:val="single" w:sz="12" w:space="0" w:color="008000"/>
              <w:bottom w:val="single" w:sz="6" w:space="0" w:color="008000"/>
            </w:tcBorders>
            <w:shd w:val="clear" w:color="auto" w:fill="auto"/>
            <w:noWrap/>
            <w:vAlign w:val="center"/>
            <w:hideMark/>
          </w:tcPr>
          <w:p w14:paraId="5A685D14" w14:textId="77777777" w:rsidR="001A75A3" w:rsidRPr="009710F7" w:rsidRDefault="001A75A3" w:rsidP="001241E6">
            <w:pPr>
              <w:jc w:val="center"/>
              <w:rPr>
                <w:rFonts w:eastAsia="仿宋" w:cs="Arial"/>
                <w:szCs w:val="18"/>
              </w:rPr>
            </w:pPr>
            <w:r w:rsidRPr="009710F7">
              <w:rPr>
                <w:rFonts w:eastAsia="仿宋" w:cs="Arial"/>
                <w:szCs w:val="18"/>
              </w:rPr>
              <w:t>22.00</w:t>
            </w:r>
          </w:p>
        </w:tc>
        <w:tc>
          <w:tcPr>
            <w:tcW w:w="550" w:type="pct"/>
            <w:tcBorders>
              <w:top w:val="single" w:sz="12" w:space="0" w:color="008000"/>
              <w:bottom w:val="single" w:sz="6" w:space="0" w:color="008000"/>
            </w:tcBorders>
            <w:shd w:val="clear" w:color="auto" w:fill="auto"/>
            <w:noWrap/>
            <w:vAlign w:val="center"/>
            <w:hideMark/>
          </w:tcPr>
          <w:p w14:paraId="70C7B1E9" w14:textId="77777777" w:rsidR="001A75A3" w:rsidRPr="009710F7" w:rsidRDefault="001A75A3" w:rsidP="001241E6">
            <w:pPr>
              <w:jc w:val="center"/>
              <w:rPr>
                <w:rFonts w:eastAsia="仿宋" w:cs="Arial"/>
                <w:szCs w:val="18"/>
              </w:rPr>
            </w:pPr>
            <w:r w:rsidRPr="009710F7">
              <w:rPr>
                <w:rFonts w:eastAsia="仿宋" w:cs="Arial"/>
                <w:szCs w:val="18"/>
              </w:rPr>
              <w:t>11.33</w:t>
            </w:r>
          </w:p>
        </w:tc>
        <w:tc>
          <w:tcPr>
            <w:tcW w:w="550" w:type="pct"/>
            <w:tcBorders>
              <w:top w:val="single" w:sz="12" w:space="0" w:color="008000"/>
              <w:bottom w:val="single" w:sz="6" w:space="0" w:color="008000"/>
            </w:tcBorders>
            <w:shd w:val="clear" w:color="auto" w:fill="auto"/>
            <w:noWrap/>
            <w:vAlign w:val="center"/>
            <w:hideMark/>
          </w:tcPr>
          <w:p w14:paraId="38013C32" w14:textId="77777777" w:rsidR="001A75A3" w:rsidRPr="009710F7" w:rsidRDefault="001A75A3" w:rsidP="001241E6">
            <w:pPr>
              <w:jc w:val="center"/>
              <w:rPr>
                <w:rFonts w:eastAsia="仿宋" w:cs="Arial"/>
                <w:szCs w:val="18"/>
              </w:rPr>
            </w:pPr>
            <w:r w:rsidRPr="009710F7">
              <w:rPr>
                <w:rFonts w:eastAsia="仿宋" w:cs="Arial"/>
                <w:szCs w:val="18"/>
              </w:rPr>
              <w:t>4.37</w:t>
            </w:r>
          </w:p>
        </w:tc>
        <w:tc>
          <w:tcPr>
            <w:tcW w:w="550" w:type="pct"/>
            <w:tcBorders>
              <w:top w:val="single" w:sz="12" w:space="0" w:color="008000"/>
              <w:bottom w:val="single" w:sz="6" w:space="0" w:color="008000"/>
            </w:tcBorders>
            <w:shd w:val="clear" w:color="auto" w:fill="auto"/>
            <w:noWrap/>
            <w:vAlign w:val="center"/>
            <w:hideMark/>
          </w:tcPr>
          <w:p w14:paraId="226F0A14" w14:textId="77777777" w:rsidR="001A75A3" w:rsidRPr="009710F7" w:rsidRDefault="001A75A3" w:rsidP="001241E6">
            <w:pPr>
              <w:jc w:val="center"/>
              <w:rPr>
                <w:rFonts w:eastAsia="仿宋" w:cs="Arial"/>
                <w:szCs w:val="18"/>
              </w:rPr>
            </w:pPr>
            <w:r w:rsidRPr="009710F7">
              <w:rPr>
                <w:rFonts w:eastAsia="仿宋" w:cs="Arial"/>
                <w:szCs w:val="18"/>
              </w:rPr>
              <w:t>9.75</w:t>
            </w:r>
          </w:p>
        </w:tc>
        <w:tc>
          <w:tcPr>
            <w:tcW w:w="550" w:type="pct"/>
            <w:tcBorders>
              <w:top w:val="single" w:sz="12" w:space="0" w:color="008000"/>
              <w:bottom w:val="single" w:sz="6" w:space="0" w:color="008000"/>
            </w:tcBorders>
            <w:shd w:val="clear" w:color="auto" w:fill="auto"/>
            <w:noWrap/>
            <w:vAlign w:val="center"/>
            <w:hideMark/>
          </w:tcPr>
          <w:p w14:paraId="18E278C9" w14:textId="77777777" w:rsidR="001A75A3" w:rsidRPr="009710F7" w:rsidRDefault="001A75A3" w:rsidP="001241E6">
            <w:pPr>
              <w:jc w:val="center"/>
              <w:rPr>
                <w:rFonts w:eastAsia="仿宋" w:cs="Arial"/>
                <w:szCs w:val="18"/>
              </w:rPr>
            </w:pPr>
            <w:r w:rsidRPr="009710F7">
              <w:rPr>
                <w:rFonts w:eastAsia="仿宋" w:cs="Arial"/>
                <w:szCs w:val="18"/>
              </w:rPr>
              <w:t>7.83</w:t>
            </w:r>
          </w:p>
        </w:tc>
        <w:tc>
          <w:tcPr>
            <w:tcW w:w="550" w:type="pct"/>
            <w:tcBorders>
              <w:top w:val="single" w:sz="12" w:space="0" w:color="008000"/>
              <w:bottom w:val="single" w:sz="6" w:space="0" w:color="008000"/>
            </w:tcBorders>
            <w:shd w:val="clear" w:color="auto" w:fill="auto"/>
            <w:noWrap/>
            <w:vAlign w:val="center"/>
            <w:hideMark/>
          </w:tcPr>
          <w:p w14:paraId="4340707D" w14:textId="77777777" w:rsidR="001A75A3" w:rsidRPr="009710F7" w:rsidRDefault="001A75A3" w:rsidP="001241E6">
            <w:pPr>
              <w:jc w:val="center"/>
              <w:rPr>
                <w:rFonts w:eastAsia="仿宋" w:cs="Arial"/>
                <w:szCs w:val="18"/>
              </w:rPr>
            </w:pPr>
            <w:r w:rsidRPr="009710F7">
              <w:rPr>
                <w:rFonts w:eastAsia="仿宋" w:cs="Arial"/>
                <w:szCs w:val="18"/>
              </w:rPr>
              <w:t>2.58</w:t>
            </w:r>
          </w:p>
        </w:tc>
        <w:tc>
          <w:tcPr>
            <w:tcW w:w="550" w:type="pct"/>
            <w:tcBorders>
              <w:top w:val="single" w:sz="12" w:space="0" w:color="008000"/>
              <w:bottom w:val="single" w:sz="6" w:space="0" w:color="008000"/>
            </w:tcBorders>
            <w:shd w:val="clear" w:color="auto" w:fill="auto"/>
            <w:noWrap/>
            <w:vAlign w:val="center"/>
            <w:hideMark/>
          </w:tcPr>
          <w:p w14:paraId="1A285177" w14:textId="77777777" w:rsidR="001A75A3" w:rsidRPr="009710F7" w:rsidRDefault="001A75A3" w:rsidP="001241E6">
            <w:pPr>
              <w:jc w:val="center"/>
              <w:rPr>
                <w:rFonts w:eastAsia="仿宋" w:cs="Arial"/>
                <w:szCs w:val="18"/>
              </w:rPr>
            </w:pPr>
            <w:r w:rsidRPr="009710F7">
              <w:rPr>
                <w:rFonts w:eastAsia="仿宋" w:cs="Arial"/>
                <w:szCs w:val="18"/>
              </w:rPr>
              <w:t>Weight</w:t>
            </w:r>
          </w:p>
        </w:tc>
        <w:tc>
          <w:tcPr>
            <w:tcW w:w="550" w:type="pct"/>
            <w:tcBorders>
              <w:top w:val="single" w:sz="12" w:space="0" w:color="008000"/>
              <w:bottom w:val="single" w:sz="6" w:space="0" w:color="008000"/>
            </w:tcBorders>
            <w:shd w:val="clear" w:color="auto" w:fill="auto"/>
            <w:noWrap/>
            <w:vAlign w:val="center"/>
            <w:hideMark/>
          </w:tcPr>
          <w:p w14:paraId="17CA04D8" w14:textId="77777777" w:rsidR="001A75A3" w:rsidRPr="009710F7" w:rsidRDefault="001A75A3" w:rsidP="001241E6">
            <w:pPr>
              <w:jc w:val="center"/>
              <w:rPr>
                <w:rFonts w:eastAsia="仿宋" w:cs="Arial"/>
                <w:szCs w:val="18"/>
              </w:rPr>
            </w:pPr>
            <w:r w:rsidRPr="009710F7">
              <w:rPr>
                <w:rFonts w:eastAsia="仿宋" w:cs="Arial"/>
                <w:szCs w:val="18"/>
              </w:rPr>
              <w:t>Weight Ratio</w:t>
            </w:r>
          </w:p>
        </w:tc>
      </w:tr>
      <w:tr w:rsidR="001A75A3" w:rsidRPr="009710F7" w14:paraId="205A7973" w14:textId="77777777" w:rsidTr="007A399D">
        <w:trPr>
          <w:trHeight w:val="293"/>
        </w:trPr>
        <w:tc>
          <w:tcPr>
            <w:tcW w:w="597" w:type="pct"/>
            <w:vMerge w:val="restart"/>
            <w:tcBorders>
              <w:top w:val="single" w:sz="6" w:space="0" w:color="008000"/>
            </w:tcBorders>
            <w:shd w:val="clear" w:color="auto" w:fill="auto"/>
            <w:noWrap/>
            <w:vAlign w:val="center"/>
            <w:hideMark/>
          </w:tcPr>
          <w:p w14:paraId="7C67A6E6" w14:textId="77777777" w:rsidR="001A75A3" w:rsidRPr="009710F7" w:rsidRDefault="001A75A3" w:rsidP="001241E6">
            <w:pPr>
              <w:jc w:val="center"/>
              <w:rPr>
                <w:rFonts w:eastAsia="仿宋" w:cs="Arial"/>
                <w:szCs w:val="18"/>
              </w:rPr>
            </w:pPr>
            <w:r w:rsidRPr="009710F7">
              <w:rPr>
                <w:rFonts w:eastAsia="仿宋" w:cs="Arial"/>
                <w:szCs w:val="18"/>
              </w:rPr>
              <w:t>Normalized matrix</w:t>
            </w:r>
          </w:p>
        </w:tc>
        <w:tc>
          <w:tcPr>
            <w:tcW w:w="553" w:type="pct"/>
            <w:tcBorders>
              <w:top w:val="single" w:sz="6" w:space="0" w:color="008000"/>
            </w:tcBorders>
            <w:shd w:val="clear" w:color="auto" w:fill="auto"/>
            <w:noWrap/>
            <w:vAlign w:val="center"/>
            <w:hideMark/>
          </w:tcPr>
          <w:p w14:paraId="2F7AB918" w14:textId="77777777" w:rsidR="001A75A3" w:rsidRPr="009710F7" w:rsidRDefault="001A75A3" w:rsidP="001241E6">
            <w:pPr>
              <w:jc w:val="center"/>
              <w:rPr>
                <w:rFonts w:eastAsia="仿宋" w:cs="Arial"/>
                <w:szCs w:val="18"/>
              </w:rPr>
            </w:pPr>
            <w:r w:rsidRPr="009710F7">
              <w:rPr>
                <w:rFonts w:eastAsia="仿宋" w:cs="Arial"/>
                <w:szCs w:val="18"/>
              </w:rPr>
              <w:t>0.0455</w:t>
            </w:r>
          </w:p>
        </w:tc>
        <w:tc>
          <w:tcPr>
            <w:tcW w:w="550" w:type="pct"/>
            <w:tcBorders>
              <w:top w:val="single" w:sz="6" w:space="0" w:color="008000"/>
            </w:tcBorders>
            <w:shd w:val="clear" w:color="auto" w:fill="auto"/>
            <w:noWrap/>
            <w:vAlign w:val="center"/>
            <w:hideMark/>
          </w:tcPr>
          <w:p w14:paraId="121BAB28" w14:textId="77777777" w:rsidR="001A75A3" w:rsidRPr="009710F7" w:rsidRDefault="001A75A3" w:rsidP="001241E6">
            <w:pPr>
              <w:jc w:val="center"/>
              <w:rPr>
                <w:rFonts w:eastAsia="仿宋" w:cs="Arial"/>
                <w:szCs w:val="18"/>
              </w:rPr>
            </w:pPr>
            <w:r w:rsidRPr="009710F7">
              <w:rPr>
                <w:rFonts w:eastAsia="仿宋" w:cs="Arial"/>
                <w:szCs w:val="18"/>
              </w:rPr>
              <w:t>0.0294</w:t>
            </w:r>
          </w:p>
        </w:tc>
        <w:tc>
          <w:tcPr>
            <w:tcW w:w="550" w:type="pct"/>
            <w:tcBorders>
              <w:top w:val="single" w:sz="6" w:space="0" w:color="008000"/>
            </w:tcBorders>
            <w:shd w:val="clear" w:color="auto" w:fill="auto"/>
            <w:noWrap/>
            <w:vAlign w:val="center"/>
            <w:hideMark/>
          </w:tcPr>
          <w:p w14:paraId="4A81E46A" w14:textId="77777777" w:rsidR="001A75A3" w:rsidRPr="009710F7" w:rsidRDefault="001A75A3" w:rsidP="001241E6">
            <w:pPr>
              <w:jc w:val="center"/>
              <w:rPr>
                <w:rFonts w:eastAsia="仿宋" w:cs="Arial"/>
                <w:szCs w:val="18"/>
              </w:rPr>
            </w:pPr>
            <w:r w:rsidRPr="009710F7">
              <w:rPr>
                <w:rFonts w:eastAsia="仿宋" w:cs="Arial"/>
                <w:szCs w:val="18"/>
              </w:rPr>
              <w:t>0.0458</w:t>
            </w:r>
          </w:p>
        </w:tc>
        <w:tc>
          <w:tcPr>
            <w:tcW w:w="550" w:type="pct"/>
            <w:tcBorders>
              <w:top w:val="single" w:sz="6" w:space="0" w:color="008000"/>
            </w:tcBorders>
            <w:shd w:val="clear" w:color="auto" w:fill="auto"/>
            <w:noWrap/>
            <w:vAlign w:val="center"/>
            <w:hideMark/>
          </w:tcPr>
          <w:p w14:paraId="742489E6" w14:textId="77777777" w:rsidR="001A75A3" w:rsidRPr="009710F7" w:rsidRDefault="001A75A3" w:rsidP="001241E6">
            <w:pPr>
              <w:jc w:val="center"/>
              <w:rPr>
                <w:rFonts w:eastAsia="仿宋" w:cs="Arial"/>
                <w:szCs w:val="18"/>
              </w:rPr>
            </w:pPr>
            <w:r w:rsidRPr="009710F7">
              <w:rPr>
                <w:rFonts w:eastAsia="仿宋" w:cs="Arial"/>
                <w:szCs w:val="18"/>
              </w:rPr>
              <w:t>0.0256</w:t>
            </w:r>
          </w:p>
        </w:tc>
        <w:tc>
          <w:tcPr>
            <w:tcW w:w="550" w:type="pct"/>
            <w:tcBorders>
              <w:top w:val="single" w:sz="6" w:space="0" w:color="008000"/>
            </w:tcBorders>
            <w:shd w:val="clear" w:color="auto" w:fill="auto"/>
            <w:noWrap/>
            <w:vAlign w:val="center"/>
            <w:hideMark/>
          </w:tcPr>
          <w:p w14:paraId="38CB4320" w14:textId="77777777" w:rsidR="001A75A3" w:rsidRPr="009710F7" w:rsidRDefault="001A75A3" w:rsidP="001241E6">
            <w:pPr>
              <w:jc w:val="center"/>
              <w:rPr>
                <w:rFonts w:eastAsia="仿宋" w:cs="Arial"/>
                <w:szCs w:val="18"/>
              </w:rPr>
            </w:pPr>
            <w:r w:rsidRPr="009710F7">
              <w:rPr>
                <w:rFonts w:eastAsia="仿宋" w:cs="Arial"/>
                <w:szCs w:val="18"/>
              </w:rPr>
              <w:t>0.0426</w:t>
            </w:r>
          </w:p>
        </w:tc>
        <w:tc>
          <w:tcPr>
            <w:tcW w:w="550" w:type="pct"/>
            <w:tcBorders>
              <w:top w:val="single" w:sz="6" w:space="0" w:color="008000"/>
            </w:tcBorders>
            <w:shd w:val="clear" w:color="auto" w:fill="auto"/>
            <w:noWrap/>
            <w:vAlign w:val="center"/>
            <w:hideMark/>
          </w:tcPr>
          <w:p w14:paraId="68DB0527" w14:textId="77777777" w:rsidR="001A75A3" w:rsidRPr="009710F7" w:rsidRDefault="001A75A3" w:rsidP="001241E6">
            <w:pPr>
              <w:jc w:val="center"/>
              <w:rPr>
                <w:rFonts w:eastAsia="仿宋" w:cs="Arial"/>
                <w:szCs w:val="18"/>
              </w:rPr>
            </w:pPr>
            <w:r w:rsidRPr="009710F7">
              <w:rPr>
                <w:rFonts w:eastAsia="仿宋" w:cs="Arial"/>
                <w:szCs w:val="18"/>
              </w:rPr>
              <w:t>0.0645</w:t>
            </w:r>
          </w:p>
        </w:tc>
        <w:tc>
          <w:tcPr>
            <w:tcW w:w="550" w:type="pct"/>
            <w:tcBorders>
              <w:top w:val="single" w:sz="6" w:space="0" w:color="008000"/>
            </w:tcBorders>
            <w:shd w:val="clear" w:color="auto" w:fill="auto"/>
            <w:noWrap/>
            <w:vAlign w:val="center"/>
            <w:hideMark/>
          </w:tcPr>
          <w:p w14:paraId="3561A3E7" w14:textId="77777777" w:rsidR="001A75A3" w:rsidRPr="009710F7" w:rsidRDefault="001A75A3" w:rsidP="001241E6">
            <w:pPr>
              <w:jc w:val="center"/>
              <w:rPr>
                <w:rFonts w:eastAsia="仿宋" w:cs="Arial"/>
                <w:szCs w:val="18"/>
              </w:rPr>
            </w:pPr>
            <w:r w:rsidRPr="009710F7">
              <w:rPr>
                <w:rFonts w:eastAsia="仿宋" w:cs="Arial"/>
                <w:szCs w:val="18"/>
              </w:rPr>
              <w:t>0.0422</w:t>
            </w:r>
          </w:p>
        </w:tc>
        <w:tc>
          <w:tcPr>
            <w:tcW w:w="550" w:type="pct"/>
            <w:tcBorders>
              <w:top w:val="single" w:sz="6" w:space="0" w:color="008000"/>
            </w:tcBorders>
            <w:shd w:val="clear" w:color="auto" w:fill="auto"/>
            <w:noWrap/>
            <w:vAlign w:val="center"/>
            <w:hideMark/>
          </w:tcPr>
          <w:p w14:paraId="7DD99C9F" w14:textId="77777777" w:rsidR="001A75A3" w:rsidRPr="009710F7" w:rsidRDefault="001A75A3" w:rsidP="001241E6">
            <w:pPr>
              <w:jc w:val="center"/>
              <w:rPr>
                <w:rFonts w:eastAsia="仿宋" w:cs="Arial"/>
                <w:szCs w:val="18"/>
              </w:rPr>
            </w:pPr>
            <w:r w:rsidRPr="009710F7">
              <w:rPr>
                <w:rFonts w:eastAsia="仿宋" w:cs="Arial"/>
                <w:szCs w:val="18"/>
              </w:rPr>
              <w:t>0.261</w:t>
            </w:r>
          </w:p>
        </w:tc>
      </w:tr>
      <w:tr w:rsidR="001A75A3" w:rsidRPr="009710F7" w14:paraId="426DFC9C" w14:textId="77777777" w:rsidTr="007A399D">
        <w:trPr>
          <w:trHeight w:val="285"/>
        </w:trPr>
        <w:tc>
          <w:tcPr>
            <w:tcW w:w="597" w:type="pct"/>
            <w:vMerge/>
            <w:shd w:val="clear" w:color="auto" w:fill="auto"/>
            <w:vAlign w:val="center"/>
            <w:hideMark/>
          </w:tcPr>
          <w:p w14:paraId="49F1E3A7" w14:textId="77777777" w:rsidR="001A75A3" w:rsidRPr="009710F7" w:rsidRDefault="001A75A3" w:rsidP="001241E6">
            <w:pPr>
              <w:jc w:val="center"/>
              <w:rPr>
                <w:rFonts w:eastAsia="仿宋" w:cs="Arial"/>
                <w:szCs w:val="18"/>
              </w:rPr>
            </w:pPr>
          </w:p>
        </w:tc>
        <w:tc>
          <w:tcPr>
            <w:tcW w:w="553" w:type="pct"/>
            <w:shd w:val="clear" w:color="auto" w:fill="auto"/>
            <w:noWrap/>
            <w:vAlign w:val="center"/>
            <w:hideMark/>
          </w:tcPr>
          <w:p w14:paraId="5FB76451" w14:textId="77777777" w:rsidR="001A75A3" w:rsidRPr="009710F7" w:rsidRDefault="001A75A3" w:rsidP="001241E6">
            <w:pPr>
              <w:jc w:val="center"/>
              <w:rPr>
                <w:rFonts w:eastAsia="仿宋" w:cs="Arial"/>
                <w:szCs w:val="18"/>
              </w:rPr>
            </w:pPr>
            <w:r w:rsidRPr="009710F7">
              <w:rPr>
                <w:rFonts w:eastAsia="仿宋" w:cs="Arial"/>
                <w:szCs w:val="18"/>
              </w:rPr>
              <w:t>0.1364</w:t>
            </w:r>
          </w:p>
        </w:tc>
        <w:tc>
          <w:tcPr>
            <w:tcW w:w="550" w:type="pct"/>
            <w:shd w:val="clear" w:color="auto" w:fill="auto"/>
            <w:noWrap/>
            <w:vAlign w:val="center"/>
            <w:hideMark/>
          </w:tcPr>
          <w:p w14:paraId="199071C9" w14:textId="77777777" w:rsidR="001A75A3" w:rsidRPr="009710F7" w:rsidRDefault="001A75A3" w:rsidP="001241E6">
            <w:pPr>
              <w:jc w:val="center"/>
              <w:rPr>
                <w:rFonts w:eastAsia="仿宋" w:cs="Arial"/>
                <w:szCs w:val="18"/>
              </w:rPr>
            </w:pPr>
            <w:r w:rsidRPr="009710F7">
              <w:rPr>
                <w:rFonts w:eastAsia="仿宋" w:cs="Arial"/>
                <w:szCs w:val="18"/>
              </w:rPr>
              <w:t>0.0882</w:t>
            </w:r>
          </w:p>
        </w:tc>
        <w:tc>
          <w:tcPr>
            <w:tcW w:w="550" w:type="pct"/>
            <w:shd w:val="clear" w:color="auto" w:fill="auto"/>
            <w:noWrap/>
            <w:vAlign w:val="center"/>
            <w:hideMark/>
          </w:tcPr>
          <w:p w14:paraId="5569F73F" w14:textId="77777777" w:rsidR="001A75A3" w:rsidRPr="009710F7" w:rsidRDefault="001A75A3" w:rsidP="001241E6">
            <w:pPr>
              <w:jc w:val="center"/>
              <w:rPr>
                <w:rFonts w:eastAsia="仿宋" w:cs="Arial"/>
                <w:szCs w:val="18"/>
              </w:rPr>
            </w:pPr>
            <w:r w:rsidRPr="009710F7">
              <w:rPr>
                <w:rFonts w:eastAsia="仿宋" w:cs="Arial"/>
                <w:szCs w:val="18"/>
              </w:rPr>
              <w:t>0.0763</w:t>
            </w:r>
          </w:p>
        </w:tc>
        <w:tc>
          <w:tcPr>
            <w:tcW w:w="550" w:type="pct"/>
            <w:shd w:val="clear" w:color="auto" w:fill="auto"/>
            <w:noWrap/>
            <w:vAlign w:val="center"/>
            <w:hideMark/>
          </w:tcPr>
          <w:p w14:paraId="5D3F13D0" w14:textId="77777777" w:rsidR="001A75A3" w:rsidRPr="009710F7" w:rsidRDefault="001A75A3" w:rsidP="001241E6">
            <w:pPr>
              <w:jc w:val="center"/>
              <w:rPr>
                <w:rFonts w:eastAsia="仿宋" w:cs="Arial"/>
                <w:szCs w:val="18"/>
              </w:rPr>
            </w:pPr>
            <w:r w:rsidRPr="009710F7">
              <w:rPr>
                <w:rFonts w:eastAsia="仿宋" w:cs="Arial"/>
                <w:szCs w:val="18"/>
              </w:rPr>
              <w:t>0.0513</w:t>
            </w:r>
          </w:p>
        </w:tc>
        <w:tc>
          <w:tcPr>
            <w:tcW w:w="550" w:type="pct"/>
            <w:shd w:val="clear" w:color="auto" w:fill="auto"/>
            <w:noWrap/>
            <w:vAlign w:val="center"/>
            <w:hideMark/>
          </w:tcPr>
          <w:p w14:paraId="57E7E9EE" w14:textId="77777777" w:rsidR="001A75A3" w:rsidRPr="009710F7" w:rsidRDefault="001A75A3" w:rsidP="001241E6">
            <w:pPr>
              <w:jc w:val="center"/>
              <w:rPr>
                <w:rFonts w:eastAsia="仿宋" w:cs="Arial"/>
                <w:szCs w:val="18"/>
              </w:rPr>
            </w:pPr>
            <w:r w:rsidRPr="009710F7">
              <w:rPr>
                <w:rFonts w:eastAsia="仿宋" w:cs="Arial"/>
                <w:szCs w:val="18"/>
              </w:rPr>
              <w:t>0.1277</w:t>
            </w:r>
          </w:p>
        </w:tc>
        <w:tc>
          <w:tcPr>
            <w:tcW w:w="550" w:type="pct"/>
            <w:shd w:val="clear" w:color="auto" w:fill="auto"/>
            <w:noWrap/>
            <w:vAlign w:val="center"/>
            <w:hideMark/>
          </w:tcPr>
          <w:p w14:paraId="7706215B" w14:textId="77777777" w:rsidR="001A75A3" w:rsidRPr="009710F7" w:rsidRDefault="001A75A3" w:rsidP="001241E6">
            <w:pPr>
              <w:jc w:val="center"/>
              <w:rPr>
                <w:rFonts w:eastAsia="仿宋" w:cs="Arial"/>
                <w:szCs w:val="18"/>
              </w:rPr>
            </w:pPr>
            <w:r w:rsidRPr="009710F7">
              <w:rPr>
                <w:rFonts w:eastAsia="仿宋" w:cs="Arial"/>
                <w:szCs w:val="18"/>
              </w:rPr>
              <w:t>0.0968</w:t>
            </w:r>
          </w:p>
        </w:tc>
        <w:tc>
          <w:tcPr>
            <w:tcW w:w="550" w:type="pct"/>
            <w:shd w:val="clear" w:color="auto" w:fill="auto"/>
            <w:noWrap/>
            <w:vAlign w:val="center"/>
            <w:hideMark/>
          </w:tcPr>
          <w:p w14:paraId="413A8E5A" w14:textId="77777777" w:rsidR="001A75A3" w:rsidRPr="009710F7" w:rsidRDefault="001A75A3" w:rsidP="001241E6">
            <w:pPr>
              <w:jc w:val="center"/>
              <w:rPr>
                <w:rFonts w:eastAsia="仿宋" w:cs="Arial"/>
                <w:szCs w:val="18"/>
              </w:rPr>
            </w:pPr>
            <w:r w:rsidRPr="009710F7">
              <w:rPr>
                <w:rFonts w:eastAsia="仿宋" w:cs="Arial"/>
                <w:szCs w:val="18"/>
              </w:rPr>
              <w:t>0.0961</w:t>
            </w:r>
          </w:p>
        </w:tc>
        <w:tc>
          <w:tcPr>
            <w:tcW w:w="550" w:type="pct"/>
            <w:shd w:val="clear" w:color="auto" w:fill="auto"/>
            <w:noWrap/>
            <w:vAlign w:val="center"/>
            <w:hideMark/>
          </w:tcPr>
          <w:p w14:paraId="7E73FAEB" w14:textId="77777777" w:rsidR="001A75A3" w:rsidRPr="009710F7" w:rsidRDefault="001A75A3" w:rsidP="001241E6">
            <w:pPr>
              <w:jc w:val="center"/>
              <w:rPr>
                <w:rFonts w:eastAsia="仿宋" w:cs="Arial"/>
                <w:szCs w:val="18"/>
              </w:rPr>
            </w:pPr>
            <w:r w:rsidRPr="009710F7">
              <w:rPr>
                <w:rFonts w:eastAsia="仿宋" w:cs="Arial"/>
                <w:szCs w:val="18"/>
              </w:rPr>
              <w:t>0.593</w:t>
            </w:r>
          </w:p>
        </w:tc>
      </w:tr>
      <w:tr w:rsidR="001A75A3" w:rsidRPr="009710F7" w14:paraId="23C90B64" w14:textId="77777777" w:rsidTr="007A399D">
        <w:trPr>
          <w:trHeight w:val="293"/>
        </w:trPr>
        <w:tc>
          <w:tcPr>
            <w:tcW w:w="597" w:type="pct"/>
            <w:vMerge/>
            <w:shd w:val="clear" w:color="auto" w:fill="auto"/>
            <w:vAlign w:val="center"/>
            <w:hideMark/>
          </w:tcPr>
          <w:p w14:paraId="1080D49A" w14:textId="77777777" w:rsidR="001A75A3" w:rsidRPr="009710F7" w:rsidRDefault="001A75A3" w:rsidP="001241E6">
            <w:pPr>
              <w:jc w:val="center"/>
              <w:rPr>
                <w:rFonts w:eastAsia="仿宋" w:cs="Arial"/>
                <w:szCs w:val="18"/>
              </w:rPr>
            </w:pPr>
          </w:p>
        </w:tc>
        <w:tc>
          <w:tcPr>
            <w:tcW w:w="553" w:type="pct"/>
            <w:shd w:val="clear" w:color="auto" w:fill="auto"/>
            <w:noWrap/>
            <w:vAlign w:val="center"/>
            <w:hideMark/>
          </w:tcPr>
          <w:p w14:paraId="3968C8F3" w14:textId="77777777" w:rsidR="001A75A3" w:rsidRPr="009710F7" w:rsidRDefault="001A75A3" w:rsidP="001241E6">
            <w:pPr>
              <w:jc w:val="center"/>
              <w:rPr>
                <w:rFonts w:eastAsia="仿宋" w:cs="Arial"/>
                <w:szCs w:val="18"/>
              </w:rPr>
            </w:pPr>
            <w:r w:rsidRPr="009710F7">
              <w:rPr>
                <w:rFonts w:eastAsia="仿宋" w:cs="Arial"/>
                <w:szCs w:val="18"/>
              </w:rPr>
              <w:t>0.2273</w:t>
            </w:r>
          </w:p>
        </w:tc>
        <w:tc>
          <w:tcPr>
            <w:tcW w:w="550" w:type="pct"/>
            <w:shd w:val="clear" w:color="auto" w:fill="auto"/>
            <w:noWrap/>
            <w:vAlign w:val="center"/>
            <w:hideMark/>
          </w:tcPr>
          <w:p w14:paraId="03F1E42E" w14:textId="77777777" w:rsidR="001A75A3" w:rsidRPr="009710F7" w:rsidRDefault="001A75A3" w:rsidP="001241E6">
            <w:pPr>
              <w:jc w:val="center"/>
              <w:rPr>
                <w:rFonts w:eastAsia="仿宋" w:cs="Arial"/>
                <w:szCs w:val="18"/>
              </w:rPr>
            </w:pPr>
            <w:r w:rsidRPr="009710F7">
              <w:rPr>
                <w:rFonts w:eastAsia="仿宋" w:cs="Arial"/>
                <w:szCs w:val="18"/>
              </w:rPr>
              <w:t>0.2647</w:t>
            </w:r>
          </w:p>
        </w:tc>
        <w:tc>
          <w:tcPr>
            <w:tcW w:w="550" w:type="pct"/>
            <w:shd w:val="clear" w:color="auto" w:fill="auto"/>
            <w:noWrap/>
            <w:vAlign w:val="center"/>
            <w:hideMark/>
          </w:tcPr>
          <w:p w14:paraId="71CB5A47" w14:textId="77777777" w:rsidR="001A75A3" w:rsidRPr="009710F7" w:rsidRDefault="001A75A3" w:rsidP="001241E6">
            <w:pPr>
              <w:jc w:val="center"/>
              <w:rPr>
                <w:rFonts w:eastAsia="仿宋" w:cs="Arial"/>
                <w:szCs w:val="18"/>
              </w:rPr>
            </w:pPr>
            <w:r w:rsidRPr="009710F7">
              <w:rPr>
                <w:rFonts w:eastAsia="仿宋" w:cs="Arial"/>
                <w:szCs w:val="18"/>
              </w:rPr>
              <w:t>0.2290</w:t>
            </w:r>
          </w:p>
        </w:tc>
        <w:tc>
          <w:tcPr>
            <w:tcW w:w="550" w:type="pct"/>
            <w:shd w:val="clear" w:color="auto" w:fill="auto"/>
            <w:noWrap/>
            <w:vAlign w:val="center"/>
            <w:hideMark/>
          </w:tcPr>
          <w:p w14:paraId="21533E05" w14:textId="77777777" w:rsidR="001A75A3" w:rsidRPr="009710F7" w:rsidRDefault="001A75A3" w:rsidP="001241E6">
            <w:pPr>
              <w:jc w:val="center"/>
              <w:rPr>
                <w:rFonts w:eastAsia="仿宋" w:cs="Arial"/>
                <w:szCs w:val="18"/>
              </w:rPr>
            </w:pPr>
            <w:r w:rsidRPr="009710F7">
              <w:rPr>
                <w:rFonts w:eastAsia="仿宋" w:cs="Arial"/>
                <w:szCs w:val="18"/>
              </w:rPr>
              <w:t>0.3077</w:t>
            </w:r>
          </w:p>
        </w:tc>
        <w:tc>
          <w:tcPr>
            <w:tcW w:w="550" w:type="pct"/>
            <w:shd w:val="clear" w:color="auto" w:fill="auto"/>
            <w:noWrap/>
            <w:vAlign w:val="center"/>
            <w:hideMark/>
          </w:tcPr>
          <w:p w14:paraId="117F12C5" w14:textId="77777777" w:rsidR="001A75A3" w:rsidRPr="009710F7" w:rsidRDefault="001A75A3" w:rsidP="001241E6">
            <w:pPr>
              <w:jc w:val="center"/>
              <w:rPr>
                <w:rFonts w:eastAsia="仿宋" w:cs="Arial"/>
                <w:szCs w:val="18"/>
              </w:rPr>
            </w:pPr>
            <w:r w:rsidRPr="009710F7">
              <w:rPr>
                <w:rFonts w:eastAsia="仿宋" w:cs="Arial"/>
                <w:szCs w:val="18"/>
              </w:rPr>
              <w:t>0.2553</w:t>
            </w:r>
          </w:p>
        </w:tc>
        <w:tc>
          <w:tcPr>
            <w:tcW w:w="550" w:type="pct"/>
            <w:shd w:val="clear" w:color="auto" w:fill="auto"/>
            <w:noWrap/>
            <w:vAlign w:val="center"/>
            <w:hideMark/>
          </w:tcPr>
          <w:p w14:paraId="52FFD7F2" w14:textId="77777777" w:rsidR="001A75A3" w:rsidRPr="009710F7" w:rsidRDefault="001A75A3" w:rsidP="001241E6">
            <w:pPr>
              <w:jc w:val="center"/>
              <w:rPr>
                <w:rFonts w:eastAsia="仿宋" w:cs="Arial"/>
                <w:szCs w:val="18"/>
              </w:rPr>
            </w:pPr>
            <w:r w:rsidRPr="009710F7">
              <w:rPr>
                <w:rFonts w:eastAsia="仿宋" w:cs="Arial"/>
                <w:szCs w:val="18"/>
              </w:rPr>
              <w:t>0.2568</w:t>
            </w:r>
          </w:p>
        </w:tc>
        <w:tc>
          <w:tcPr>
            <w:tcW w:w="550" w:type="pct"/>
            <w:shd w:val="clear" w:color="auto" w:fill="auto"/>
            <w:noWrap/>
            <w:vAlign w:val="center"/>
            <w:hideMark/>
          </w:tcPr>
          <w:p w14:paraId="3C0C4A96" w14:textId="77777777" w:rsidR="001A75A3" w:rsidRPr="009710F7" w:rsidRDefault="001A75A3" w:rsidP="001241E6">
            <w:pPr>
              <w:jc w:val="center"/>
              <w:rPr>
                <w:rFonts w:eastAsia="仿宋" w:cs="Arial"/>
                <w:szCs w:val="18"/>
              </w:rPr>
            </w:pPr>
            <w:r w:rsidRPr="009710F7">
              <w:rPr>
                <w:rFonts w:eastAsia="仿宋" w:cs="Arial"/>
                <w:szCs w:val="18"/>
              </w:rPr>
              <w:t>0.2568</w:t>
            </w:r>
          </w:p>
        </w:tc>
        <w:tc>
          <w:tcPr>
            <w:tcW w:w="550" w:type="pct"/>
            <w:shd w:val="clear" w:color="auto" w:fill="auto"/>
            <w:noWrap/>
            <w:vAlign w:val="center"/>
            <w:hideMark/>
          </w:tcPr>
          <w:p w14:paraId="3E963702" w14:textId="77777777" w:rsidR="001A75A3" w:rsidRPr="009710F7" w:rsidRDefault="001A75A3" w:rsidP="001241E6">
            <w:pPr>
              <w:jc w:val="center"/>
              <w:rPr>
                <w:rFonts w:eastAsia="仿宋" w:cs="Arial"/>
                <w:szCs w:val="18"/>
              </w:rPr>
            </w:pPr>
            <w:r w:rsidRPr="009710F7">
              <w:rPr>
                <w:rFonts w:eastAsia="仿宋" w:cs="Arial"/>
                <w:szCs w:val="18"/>
              </w:rPr>
              <w:t>1.568</w:t>
            </w:r>
          </w:p>
        </w:tc>
      </w:tr>
      <w:tr w:rsidR="001A75A3" w:rsidRPr="009710F7" w14:paraId="01C7757E" w14:textId="77777777" w:rsidTr="007A399D">
        <w:trPr>
          <w:trHeight w:val="300"/>
        </w:trPr>
        <w:tc>
          <w:tcPr>
            <w:tcW w:w="597" w:type="pct"/>
            <w:vMerge/>
            <w:shd w:val="clear" w:color="auto" w:fill="auto"/>
            <w:vAlign w:val="center"/>
            <w:hideMark/>
          </w:tcPr>
          <w:p w14:paraId="72C6AFA0" w14:textId="77777777" w:rsidR="001A75A3" w:rsidRPr="009710F7" w:rsidRDefault="001A75A3" w:rsidP="001241E6">
            <w:pPr>
              <w:jc w:val="center"/>
              <w:rPr>
                <w:rFonts w:eastAsia="仿宋" w:cs="Arial"/>
                <w:szCs w:val="18"/>
              </w:rPr>
            </w:pPr>
          </w:p>
        </w:tc>
        <w:tc>
          <w:tcPr>
            <w:tcW w:w="553" w:type="pct"/>
            <w:shd w:val="clear" w:color="auto" w:fill="auto"/>
            <w:noWrap/>
            <w:vAlign w:val="center"/>
            <w:hideMark/>
          </w:tcPr>
          <w:p w14:paraId="4B4C8516" w14:textId="77777777" w:rsidR="001A75A3" w:rsidRPr="009710F7" w:rsidRDefault="001A75A3" w:rsidP="001241E6">
            <w:pPr>
              <w:jc w:val="center"/>
              <w:rPr>
                <w:rFonts w:eastAsia="仿宋" w:cs="Arial"/>
                <w:szCs w:val="18"/>
              </w:rPr>
            </w:pPr>
            <w:r w:rsidRPr="009710F7">
              <w:rPr>
                <w:rFonts w:eastAsia="仿宋" w:cs="Arial"/>
                <w:szCs w:val="18"/>
              </w:rPr>
              <w:t>0.1818</w:t>
            </w:r>
          </w:p>
        </w:tc>
        <w:tc>
          <w:tcPr>
            <w:tcW w:w="550" w:type="pct"/>
            <w:shd w:val="clear" w:color="auto" w:fill="auto"/>
            <w:noWrap/>
            <w:vAlign w:val="center"/>
            <w:hideMark/>
          </w:tcPr>
          <w:p w14:paraId="519A6F7D" w14:textId="77777777" w:rsidR="001A75A3" w:rsidRPr="009710F7" w:rsidRDefault="001A75A3" w:rsidP="001241E6">
            <w:pPr>
              <w:jc w:val="center"/>
              <w:rPr>
                <w:rFonts w:eastAsia="仿宋" w:cs="Arial"/>
                <w:szCs w:val="18"/>
              </w:rPr>
            </w:pPr>
            <w:r w:rsidRPr="009710F7">
              <w:rPr>
                <w:rFonts w:eastAsia="仿宋" w:cs="Arial"/>
                <w:szCs w:val="18"/>
              </w:rPr>
              <w:t>0.1765</w:t>
            </w:r>
          </w:p>
        </w:tc>
        <w:tc>
          <w:tcPr>
            <w:tcW w:w="550" w:type="pct"/>
            <w:shd w:val="clear" w:color="auto" w:fill="auto"/>
            <w:noWrap/>
            <w:vAlign w:val="center"/>
            <w:hideMark/>
          </w:tcPr>
          <w:p w14:paraId="2CB3E7BA" w14:textId="77777777" w:rsidR="001A75A3" w:rsidRPr="009710F7" w:rsidRDefault="001A75A3" w:rsidP="001241E6">
            <w:pPr>
              <w:jc w:val="center"/>
              <w:rPr>
                <w:rFonts w:eastAsia="仿宋" w:cs="Arial"/>
                <w:szCs w:val="18"/>
              </w:rPr>
            </w:pPr>
            <w:r w:rsidRPr="009710F7">
              <w:rPr>
                <w:rFonts w:eastAsia="仿宋" w:cs="Arial"/>
                <w:szCs w:val="18"/>
              </w:rPr>
              <w:t>0.0763</w:t>
            </w:r>
          </w:p>
        </w:tc>
        <w:tc>
          <w:tcPr>
            <w:tcW w:w="550" w:type="pct"/>
            <w:shd w:val="clear" w:color="auto" w:fill="auto"/>
            <w:noWrap/>
            <w:vAlign w:val="center"/>
            <w:hideMark/>
          </w:tcPr>
          <w:p w14:paraId="0CCD91D5" w14:textId="77777777" w:rsidR="001A75A3" w:rsidRPr="009710F7" w:rsidRDefault="001A75A3" w:rsidP="001241E6">
            <w:pPr>
              <w:jc w:val="center"/>
              <w:rPr>
                <w:rFonts w:eastAsia="仿宋" w:cs="Arial"/>
                <w:szCs w:val="18"/>
              </w:rPr>
            </w:pPr>
            <w:r w:rsidRPr="009710F7">
              <w:rPr>
                <w:rFonts w:eastAsia="仿宋" w:cs="Arial"/>
                <w:szCs w:val="18"/>
              </w:rPr>
              <w:t>0.1026</w:t>
            </w:r>
          </w:p>
        </w:tc>
        <w:tc>
          <w:tcPr>
            <w:tcW w:w="550" w:type="pct"/>
            <w:shd w:val="clear" w:color="auto" w:fill="auto"/>
            <w:noWrap/>
            <w:vAlign w:val="center"/>
            <w:hideMark/>
          </w:tcPr>
          <w:p w14:paraId="456041E4" w14:textId="77777777" w:rsidR="001A75A3" w:rsidRPr="009710F7" w:rsidRDefault="001A75A3" w:rsidP="001241E6">
            <w:pPr>
              <w:jc w:val="center"/>
              <w:rPr>
                <w:rFonts w:eastAsia="仿宋" w:cs="Arial"/>
                <w:szCs w:val="18"/>
              </w:rPr>
            </w:pPr>
            <w:r w:rsidRPr="009710F7">
              <w:rPr>
                <w:rFonts w:eastAsia="仿宋" w:cs="Arial"/>
                <w:szCs w:val="18"/>
              </w:rPr>
              <w:t>0.0638</w:t>
            </w:r>
          </w:p>
        </w:tc>
        <w:tc>
          <w:tcPr>
            <w:tcW w:w="550" w:type="pct"/>
            <w:shd w:val="clear" w:color="auto" w:fill="auto"/>
            <w:noWrap/>
            <w:vAlign w:val="center"/>
            <w:hideMark/>
          </w:tcPr>
          <w:p w14:paraId="18CC936F" w14:textId="77777777" w:rsidR="001A75A3" w:rsidRPr="009710F7" w:rsidRDefault="001A75A3" w:rsidP="001241E6">
            <w:pPr>
              <w:jc w:val="center"/>
              <w:rPr>
                <w:rFonts w:eastAsia="仿宋" w:cs="Arial"/>
                <w:szCs w:val="18"/>
              </w:rPr>
            </w:pPr>
            <w:r w:rsidRPr="009710F7">
              <w:rPr>
                <w:rFonts w:eastAsia="仿宋" w:cs="Arial"/>
                <w:szCs w:val="18"/>
              </w:rPr>
              <w:t>0.1290</w:t>
            </w:r>
          </w:p>
        </w:tc>
        <w:tc>
          <w:tcPr>
            <w:tcW w:w="550" w:type="pct"/>
            <w:shd w:val="clear" w:color="auto" w:fill="auto"/>
            <w:noWrap/>
            <w:vAlign w:val="center"/>
            <w:hideMark/>
          </w:tcPr>
          <w:p w14:paraId="7B40C75D" w14:textId="77777777" w:rsidR="001A75A3" w:rsidRPr="009710F7" w:rsidRDefault="001A75A3" w:rsidP="001241E6">
            <w:pPr>
              <w:jc w:val="center"/>
              <w:rPr>
                <w:rFonts w:eastAsia="仿宋" w:cs="Arial"/>
                <w:szCs w:val="18"/>
              </w:rPr>
            </w:pPr>
            <w:r w:rsidRPr="009710F7">
              <w:rPr>
                <w:rFonts w:eastAsia="仿宋" w:cs="Arial"/>
                <w:szCs w:val="18"/>
              </w:rPr>
              <w:t>0.1217</w:t>
            </w:r>
          </w:p>
        </w:tc>
        <w:tc>
          <w:tcPr>
            <w:tcW w:w="550" w:type="pct"/>
            <w:shd w:val="clear" w:color="auto" w:fill="auto"/>
            <w:noWrap/>
            <w:vAlign w:val="center"/>
            <w:hideMark/>
          </w:tcPr>
          <w:p w14:paraId="7F2D23E8" w14:textId="77777777" w:rsidR="001A75A3" w:rsidRPr="009710F7" w:rsidRDefault="001A75A3" w:rsidP="001241E6">
            <w:pPr>
              <w:jc w:val="center"/>
              <w:rPr>
                <w:rFonts w:eastAsia="仿宋" w:cs="Arial"/>
                <w:szCs w:val="18"/>
              </w:rPr>
            </w:pPr>
            <w:r w:rsidRPr="009710F7">
              <w:rPr>
                <w:rFonts w:eastAsia="仿宋" w:cs="Arial"/>
                <w:szCs w:val="18"/>
              </w:rPr>
              <w:t>0.755</w:t>
            </w:r>
          </w:p>
        </w:tc>
      </w:tr>
      <w:tr w:rsidR="001A75A3" w:rsidRPr="009710F7" w14:paraId="4EE80012" w14:textId="77777777" w:rsidTr="007A399D">
        <w:trPr>
          <w:trHeight w:val="293"/>
        </w:trPr>
        <w:tc>
          <w:tcPr>
            <w:tcW w:w="597" w:type="pct"/>
            <w:vMerge/>
            <w:shd w:val="clear" w:color="auto" w:fill="auto"/>
            <w:vAlign w:val="center"/>
            <w:hideMark/>
          </w:tcPr>
          <w:p w14:paraId="5BF32023" w14:textId="77777777" w:rsidR="001A75A3" w:rsidRPr="009710F7" w:rsidRDefault="001A75A3" w:rsidP="001241E6">
            <w:pPr>
              <w:jc w:val="center"/>
              <w:rPr>
                <w:rFonts w:eastAsia="仿宋" w:cs="Arial"/>
                <w:szCs w:val="18"/>
              </w:rPr>
            </w:pPr>
          </w:p>
        </w:tc>
        <w:tc>
          <w:tcPr>
            <w:tcW w:w="553" w:type="pct"/>
            <w:shd w:val="clear" w:color="auto" w:fill="auto"/>
            <w:noWrap/>
            <w:vAlign w:val="center"/>
            <w:hideMark/>
          </w:tcPr>
          <w:p w14:paraId="1924D5DB" w14:textId="77777777" w:rsidR="001A75A3" w:rsidRPr="009710F7" w:rsidRDefault="001A75A3" w:rsidP="001241E6">
            <w:pPr>
              <w:jc w:val="center"/>
              <w:rPr>
                <w:rFonts w:eastAsia="仿宋" w:cs="Arial"/>
                <w:szCs w:val="18"/>
              </w:rPr>
            </w:pPr>
            <w:r w:rsidRPr="009710F7">
              <w:rPr>
                <w:rFonts w:eastAsia="仿宋" w:cs="Arial"/>
                <w:szCs w:val="18"/>
              </w:rPr>
              <w:t>0.1364</w:t>
            </w:r>
          </w:p>
        </w:tc>
        <w:tc>
          <w:tcPr>
            <w:tcW w:w="550" w:type="pct"/>
            <w:shd w:val="clear" w:color="auto" w:fill="auto"/>
            <w:noWrap/>
            <w:vAlign w:val="center"/>
            <w:hideMark/>
          </w:tcPr>
          <w:p w14:paraId="352CF5B2" w14:textId="77777777" w:rsidR="001A75A3" w:rsidRPr="009710F7" w:rsidRDefault="001A75A3" w:rsidP="001241E6">
            <w:pPr>
              <w:jc w:val="center"/>
              <w:rPr>
                <w:rFonts w:eastAsia="仿宋" w:cs="Arial"/>
                <w:szCs w:val="18"/>
              </w:rPr>
            </w:pPr>
            <w:r w:rsidRPr="009710F7">
              <w:rPr>
                <w:rFonts w:eastAsia="仿宋" w:cs="Arial"/>
                <w:szCs w:val="18"/>
              </w:rPr>
              <w:t>0.0882</w:t>
            </w:r>
          </w:p>
        </w:tc>
        <w:tc>
          <w:tcPr>
            <w:tcW w:w="550" w:type="pct"/>
            <w:shd w:val="clear" w:color="auto" w:fill="auto"/>
            <w:noWrap/>
            <w:vAlign w:val="center"/>
            <w:hideMark/>
          </w:tcPr>
          <w:p w14:paraId="18DA7DEA" w14:textId="77777777" w:rsidR="001A75A3" w:rsidRPr="009710F7" w:rsidRDefault="001A75A3" w:rsidP="001241E6">
            <w:pPr>
              <w:jc w:val="center"/>
              <w:rPr>
                <w:rFonts w:eastAsia="仿宋" w:cs="Arial"/>
                <w:szCs w:val="18"/>
              </w:rPr>
            </w:pPr>
            <w:r w:rsidRPr="009710F7">
              <w:rPr>
                <w:rFonts w:eastAsia="仿宋" w:cs="Arial"/>
                <w:szCs w:val="18"/>
              </w:rPr>
              <w:t>0.1145</w:t>
            </w:r>
          </w:p>
        </w:tc>
        <w:tc>
          <w:tcPr>
            <w:tcW w:w="550" w:type="pct"/>
            <w:shd w:val="clear" w:color="auto" w:fill="auto"/>
            <w:noWrap/>
            <w:vAlign w:val="center"/>
            <w:hideMark/>
          </w:tcPr>
          <w:p w14:paraId="111D4218" w14:textId="77777777" w:rsidR="001A75A3" w:rsidRPr="009710F7" w:rsidRDefault="001A75A3" w:rsidP="001241E6">
            <w:pPr>
              <w:jc w:val="center"/>
              <w:rPr>
                <w:rFonts w:eastAsia="仿宋" w:cs="Arial"/>
                <w:szCs w:val="18"/>
              </w:rPr>
            </w:pPr>
            <w:r w:rsidRPr="009710F7">
              <w:rPr>
                <w:rFonts w:eastAsia="仿宋" w:cs="Arial"/>
                <w:szCs w:val="18"/>
              </w:rPr>
              <w:t>0.2051</w:t>
            </w:r>
          </w:p>
        </w:tc>
        <w:tc>
          <w:tcPr>
            <w:tcW w:w="550" w:type="pct"/>
            <w:shd w:val="clear" w:color="auto" w:fill="auto"/>
            <w:noWrap/>
            <w:vAlign w:val="center"/>
            <w:hideMark/>
          </w:tcPr>
          <w:p w14:paraId="2A7D3C28" w14:textId="77777777" w:rsidR="001A75A3" w:rsidRPr="009710F7" w:rsidRDefault="001A75A3" w:rsidP="001241E6">
            <w:pPr>
              <w:jc w:val="center"/>
              <w:rPr>
                <w:rFonts w:eastAsia="仿宋" w:cs="Arial"/>
                <w:szCs w:val="18"/>
              </w:rPr>
            </w:pPr>
            <w:r w:rsidRPr="009710F7">
              <w:rPr>
                <w:rFonts w:eastAsia="仿宋" w:cs="Arial"/>
                <w:szCs w:val="18"/>
              </w:rPr>
              <w:t>0.1277</w:t>
            </w:r>
          </w:p>
        </w:tc>
        <w:tc>
          <w:tcPr>
            <w:tcW w:w="550" w:type="pct"/>
            <w:shd w:val="clear" w:color="auto" w:fill="auto"/>
            <w:noWrap/>
            <w:vAlign w:val="center"/>
            <w:hideMark/>
          </w:tcPr>
          <w:p w14:paraId="21798F2B" w14:textId="77777777" w:rsidR="001A75A3" w:rsidRPr="009710F7" w:rsidRDefault="001A75A3" w:rsidP="001241E6">
            <w:pPr>
              <w:jc w:val="center"/>
              <w:rPr>
                <w:rFonts w:eastAsia="仿宋" w:cs="Arial"/>
                <w:szCs w:val="18"/>
              </w:rPr>
            </w:pPr>
            <w:r w:rsidRPr="009710F7">
              <w:rPr>
                <w:rFonts w:eastAsia="仿宋" w:cs="Arial"/>
                <w:szCs w:val="18"/>
              </w:rPr>
              <w:t>0.1290</w:t>
            </w:r>
          </w:p>
        </w:tc>
        <w:tc>
          <w:tcPr>
            <w:tcW w:w="550" w:type="pct"/>
            <w:shd w:val="clear" w:color="auto" w:fill="auto"/>
            <w:noWrap/>
            <w:vAlign w:val="center"/>
            <w:hideMark/>
          </w:tcPr>
          <w:p w14:paraId="4F7626C8" w14:textId="77777777" w:rsidR="001A75A3" w:rsidRPr="009710F7" w:rsidRDefault="001A75A3" w:rsidP="001241E6">
            <w:pPr>
              <w:jc w:val="center"/>
              <w:rPr>
                <w:rFonts w:eastAsia="仿宋" w:cs="Arial"/>
                <w:szCs w:val="18"/>
              </w:rPr>
            </w:pPr>
            <w:r w:rsidRPr="009710F7">
              <w:rPr>
                <w:rFonts w:eastAsia="仿宋" w:cs="Arial"/>
                <w:szCs w:val="18"/>
              </w:rPr>
              <w:t>0.1335</w:t>
            </w:r>
          </w:p>
        </w:tc>
        <w:tc>
          <w:tcPr>
            <w:tcW w:w="550" w:type="pct"/>
            <w:shd w:val="clear" w:color="auto" w:fill="auto"/>
            <w:noWrap/>
            <w:vAlign w:val="center"/>
            <w:hideMark/>
          </w:tcPr>
          <w:p w14:paraId="02BAAF69" w14:textId="77777777" w:rsidR="001A75A3" w:rsidRPr="009710F7" w:rsidRDefault="001A75A3" w:rsidP="001241E6">
            <w:pPr>
              <w:jc w:val="center"/>
              <w:rPr>
                <w:rFonts w:eastAsia="仿宋" w:cs="Arial"/>
                <w:szCs w:val="18"/>
              </w:rPr>
            </w:pPr>
            <w:r w:rsidRPr="009710F7">
              <w:rPr>
                <w:rFonts w:eastAsia="仿宋" w:cs="Arial"/>
                <w:szCs w:val="18"/>
              </w:rPr>
              <w:t>0.848</w:t>
            </w:r>
          </w:p>
        </w:tc>
      </w:tr>
      <w:tr w:rsidR="001A75A3" w:rsidRPr="009710F7" w14:paraId="05E8A0B7" w14:textId="77777777" w:rsidTr="007A399D">
        <w:trPr>
          <w:trHeight w:val="293"/>
        </w:trPr>
        <w:tc>
          <w:tcPr>
            <w:tcW w:w="597" w:type="pct"/>
            <w:vMerge/>
            <w:shd w:val="clear" w:color="auto" w:fill="auto"/>
            <w:vAlign w:val="center"/>
            <w:hideMark/>
          </w:tcPr>
          <w:p w14:paraId="3557A3D5" w14:textId="77777777" w:rsidR="001A75A3" w:rsidRPr="009710F7" w:rsidRDefault="001A75A3" w:rsidP="001241E6">
            <w:pPr>
              <w:jc w:val="center"/>
              <w:rPr>
                <w:rFonts w:eastAsia="仿宋" w:cs="Arial"/>
                <w:szCs w:val="18"/>
              </w:rPr>
            </w:pPr>
          </w:p>
        </w:tc>
        <w:tc>
          <w:tcPr>
            <w:tcW w:w="553" w:type="pct"/>
            <w:shd w:val="clear" w:color="auto" w:fill="auto"/>
            <w:noWrap/>
            <w:vAlign w:val="center"/>
            <w:hideMark/>
          </w:tcPr>
          <w:p w14:paraId="7E35056E" w14:textId="77777777" w:rsidR="001A75A3" w:rsidRPr="009710F7" w:rsidRDefault="001A75A3" w:rsidP="001241E6">
            <w:pPr>
              <w:jc w:val="center"/>
              <w:rPr>
                <w:rFonts w:eastAsia="仿宋" w:cs="Arial"/>
                <w:szCs w:val="18"/>
              </w:rPr>
            </w:pPr>
            <w:r w:rsidRPr="009710F7">
              <w:rPr>
                <w:rFonts w:eastAsia="仿宋" w:cs="Arial"/>
                <w:szCs w:val="18"/>
              </w:rPr>
              <w:t>0.2727</w:t>
            </w:r>
          </w:p>
        </w:tc>
        <w:tc>
          <w:tcPr>
            <w:tcW w:w="550" w:type="pct"/>
            <w:shd w:val="clear" w:color="auto" w:fill="auto"/>
            <w:noWrap/>
            <w:vAlign w:val="center"/>
            <w:hideMark/>
          </w:tcPr>
          <w:p w14:paraId="531E521C" w14:textId="77777777" w:rsidR="001A75A3" w:rsidRPr="009710F7" w:rsidRDefault="001A75A3" w:rsidP="001241E6">
            <w:pPr>
              <w:jc w:val="center"/>
              <w:rPr>
                <w:rFonts w:eastAsia="仿宋" w:cs="Arial"/>
                <w:szCs w:val="18"/>
              </w:rPr>
            </w:pPr>
            <w:r w:rsidRPr="009710F7">
              <w:rPr>
                <w:rFonts w:eastAsia="仿宋" w:cs="Arial"/>
                <w:szCs w:val="18"/>
              </w:rPr>
              <w:t>0.3529</w:t>
            </w:r>
          </w:p>
        </w:tc>
        <w:tc>
          <w:tcPr>
            <w:tcW w:w="550" w:type="pct"/>
            <w:shd w:val="clear" w:color="auto" w:fill="auto"/>
            <w:noWrap/>
            <w:vAlign w:val="center"/>
            <w:hideMark/>
          </w:tcPr>
          <w:p w14:paraId="4D40CD78" w14:textId="77777777" w:rsidR="001A75A3" w:rsidRPr="009710F7" w:rsidRDefault="001A75A3" w:rsidP="001241E6">
            <w:pPr>
              <w:jc w:val="center"/>
              <w:rPr>
                <w:rFonts w:eastAsia="仿宋" w:cs="Arial"/>
                <w:szCs w:val="18"/>
              </w:rPr>
            </w:pPr>
            <w:r w:rsidRPr="009710F7">
              <w:rPr>
                <w:rFonts w:eastAsia="仿宋" w:cs="Arial"/>
                <w:szCs w:val="18"/>
              </w:rPr>
              <w:t>0.4580</w:t>
            </w:r>
          </w:p>
        </w:tc>
        <w:tc>
          <w:tcPr>
            <w:tcW w:w="550" w:type="pct"/>
            <w:shd w:val="clear" w:color="auto" w:fill="auto"/>
            <w:noWrap/>
            <w:vAlign w:val="center"/>
            <w:hideMark/>
          </w:tcPr>
          <w:p w14:paraId="4A175181" w14:textId="77777777" w:rsidR="001A75A3" w:rsidRPr="009710F7" w:rsidRDefault="001A75A3" w:rsidP="001241E6">
            <w:pPr>
              <w:jc w:val="center"/>
              <w:rPr>
                <w:rFonts w:eastAsia="仿宋" w:cs="Arial"/>
                <w:szCs w:val="18"/>
              </w:rPr>
            </w:pPr>
            <w:r w:rsidRPr="009710F7">
              <w:rPr>
                <w:rFonts w:eastAsia="仿宋" w:cs="Arial"/>
                <w:szCs w:val="18"/>
              </w:rPr>
              <w:t>0.3077</w:t>
            </w:r>
          </w:p>
        </w:tc>
        <w:tc>
          <w:tcPr>
            <w:tcW w:w="550" w:type="pct"/>
            <w:shd w:val="clear" w:color="auto" w:fill="auto"/>
            <w:noWrap/>
            <w:vAlign w:val="center"/>
            <w:hideMark/>
          </w:tcPr>
          <w:p w14:paraId="7B9EA4B1" w14:textId="77777777" w:rsidR="001A75A3" w:rsidRPr="009710F7" w:rsidRDefault="001A75A3" w:rsidP="001241E6">
            <w:pPr>
              <w:jc w:val="center"/>
              <w:rPr>
                <w:rFonts w:eastAsia="仿宋" w:cs="Arial"/>
                <w:szCs w:val="18"/>
              </w:rPr>
            </w:pPr>
            <w:r w:rsidRPr="009710F7">
              <w:rPr>
                <w:rFonts w:eastAsia="仿宋" w:cs="Arial"/>
                <w:szCs w:val="18"/>
              </w:rPr>
              <w:t>0.3830</w:t>
            </w:r>
          </w:p>
        </w:tc>
        <w:tc>
          <w:tcPr>
            <w:tcW w:w="550" w:type="pct"/>
            <w:shd w:val="clear" w:color="auto" w:fill="auto"/>
            <w:noWrap/>
            <w:vAlign w:val="center"/>
            <w:hideMark/>
          </w:tcPr>
          <w:p w14:paraId="10210A8C" w14:textId="77777777" w:rsidR="001A75A3" w:rsidRPr="009710F7" w:rsidRDefault="001A75A3" w:rsidP="001241E6">
            <w:pPr>
              <w:jc w:val="center"/>
              <w:rPr>
                <w:rFonts w:eastAsia="仿宋" w:cs="Arial"/>
                <w:szCs w:val="18"/>
              </w:rPr>
            </w:pPr>
            <w:r w:rsidRPr="009710F7">
              <w:rPr>
                <w:rFonts w:eastAsia="仿宋" w:cs="Arial"/>
                <w:szCs w:val="18"/>
              </w:rPr>
              <w:t>0.3871</w:t>
            </w:r>
          </w:p>
        </w:tc>
        <w:tc>
          <w:tcPr>
            <w:tcW w:w="550" w:type="pct"/>
            <w:shd w:val="clear" w:color="auto" w:fill="auto"/>
            <w:noWrap/>
            <w:vAlign w:val="center"/>
            <w:hideMark/>
          </w:tcPr>
          <w:p w14:paraId="5E9E543B" w14:textId="77777777" w:rsidR="001A75A3" w:rsidRPr="009710F7" w:rsidRDefault="001A75A3" w:rsidP="001241E6">
            <w:pPr>
              <w:jc w:val="center"/>
              <w:rPr>
                <w:rFonts w:eastAsia="仿宋" w:cs="Arial"/>
                <w:szCs w:val="18"/>
              </w:rPr>
            </w:pPr>
            <w:r w:rsidRPr="009710F7">
              <w:rPr>
                <w:rFonts w:eastAsia="仿宋" w:cs="Arial"/>
                <w:szCs w:val="18"/>
              </w:rPr>
              <w:t>0.3602</w:t>
            </w:r>
          </w:p>
        </w:tc>
        <w:tc>
          <w:tcPr>
            <w:tcW w:w="550" w:type="pct"/>
            <w:shd w:val="clear" w:color="auto" w:fill="auto"/>
            <w:noWrap/>
            <w:vAlign w:val="center"/>
            <w:hideMark/>
          </w:tcPr>
          <w:p w14:paraId="7B123E30" w14:textId="77777777" w:rsidR="001A75A3" w:rsidRPr="009710F7" w:rsidRDefault="001A75A3" w:rsidP="001241E6">
            <w:pPr>
              <w:jc w:val="center"/>
              <w:rPr>
                <w:rFonts w:eastAsia="仿宋" w:cs="Arial"/>
                <w:szCs w:val="18"/>
              </w:rPr>
            </w:pPr>
            <w:r w:rsidRPr="009710F7">
              <w:rPr>
                <w:rFonts w:eastAsia="仿宋" w:cs="Arial"/>
                <w:szCs w:val="18"/>
              </w:rPr>
              <w:t>2.277</w:t>
            </w:r>
          </w:p>
        </w:tc>
      </w:tr>
      <w:tr w:rsidR="00120F66" w:rsidRPr="009710F7" w14:paraId="6A3C6A37" w14:textId="77777777" w:rsidTr="007A399D">
        <w:trPr>
          <w:trHeight w:val="300"/>
        </w:trPr>
        <w:tc>
          <w:tcPr>
            <w:tcW w:w="597" w:type="pct"/>
            <w:tcBorders>
              <w:bottom w:val="single" w:sz="12" w:space="0" w:color="008000"/>
            </w:tcBorders>
            <w:shd w:val="clear" w:color="auto" w:fill="auto"/>
            <w:noWrap/>
            <w:vAlign w:val="center"/>
            <w:hideMark/>
          </w:tcPr>
          <w:p w14:paraId="3D2C4DDE" w14:textId="77777777" w:rsidR="00120F66" w:rsidRPr="009710F7" w:rsidRDefault="00120F66" w:rsidP="00120F66">
            <w:pPr>
              <w:jc w:val="center"/>
              <w:rPr>
                <w:rFonts w:eastAsia="仿宋" w:cs="Arial"/>
                <w:szCs w:val="18"/>
              </w:rPr>
            </w:pPr>
          </w:p>
        </w:tc>
        <w:tc>
          <w:tcPr>
            <w:tcW w:w="553" w:type="pct"/>
            <w:tcBorders>
              <w:bottom w:val="single" w:sz="12" w:space="0" w:color="008000"/>
            </w:tcBorders>
            <w:shd w:val="clear" w:color="auto" w:fill="auto"/>
            <w:noWrap/>
            <w:vAlign w:val="center"/>
            <w:hideMark/>
          </w:tcPr>
          <w:p w14:paraId="67B40A86" w14:textId="0E7DCFC6" w:rsidR="00120F66" w:rsidRPr="009710F7" w:rsidRDefault="00120F66" w:rsidP="00120F66">
            <w:pPr>
              <w:jc w:val="center"/>
              <w:rPr>
                <w:rFonts w:cs="Arial"/>
                <w:szCs w:val="18"/>
              </w:rPr>
            </w:pPr>
            <w:proofErr w:type="spellStart"/>
            <w:r w:rsidRPr="009710F7">
              <w:rPr>
                <w:rFonts w:eastAsia="仿宋" w:cs="Arial"/>
                <w:szCs w:val="18"/>
              </w:rPr>
              <w:t>λ_max</w:t>
            </w:r>
            <w:proofErr w:type="spellEnd"/>
          </w:p>
        </w:tc>
        <w:tc>
          <w:tcPr>
            <w:tcW w:w="550" w:type="pct"/>
            <w:tcBorders>
              <w:bottom w:val="single" w:sz="12" w:space="0" w:color="008000"/>
            </w:tcBorders>
            <w:shd w:val="clear" w:color="auto" w:fill="auto"/>
            <w:noWrap/>
            <w:vAlign w:val="center"/>
            <w:hideMark/>
          </w:tcPr>
          <w:p w14:paraId="01049E76" w14:textId="0B989448" w:rsidR="00120F66" w:rsidRPr="009710F7" w:rsidRDefault="00120F66" w:rsidP="00120F66">
            <w:pPr>
              <w:jc w:val="center"/>
              <w:rPr>
                <w:rFonts w:cs="Arial"/>
                <w:szCs w:val="18"/>
              </w:rPr>
            </w:pPr>
            <w:r w:rsidRPr="009710F7">
              <w:rPr>
                <w:rFonts w:eastAsia="仿宋" w:cs="Arial"/>
                <w:szCs w:val="18"/>
              </w:rPr>
              <w:t>6.30</w:t>
            </w:r>
          </w:p>
        </w:tc>
        <w:tc>
          <w:tcPr>
            <w:tcW w:w="550" w:type="pct"/>
            <w:tcBorders>
              <w:bottom w:val="single" w:sz="12" w:space="0" w:color="008000"/>
            </w:tcBorders>
            <w:shd w:val="clear" w:color="auto" w:fill="auto"/>
            <w:noWrap/>
            <w:vAlign w:val="center"/>
            <w:hideMark/>
          </w:tcPr>
          <w:p w14:paraId="293FB7EF" w14:textId="77777777" w:rsidR="00120F66" w:rsidRPr="009710F7" w:rsidRDefault="00120F66" w:rsidP="00120F66">
            <w:pPr>
              <w:jc w:val="center"/>
              <w:rPr>
                <w:rFonts w:cs="Arial"/>
                <w:szCs w:val="18"/>
              </w:rPr>
            </w:pPr>
          </w:p>
        </w:tc>
        <w:tc>
          <w:tcPr>
            <w:tcW w:w="550" w:type="pct"/>
            <w:tcBorders>
              <w:bottom w:val="single" w:sz="12" w:space="0" w:color="008000"/>
            </w:tcBorders>
            <w:shd w:val="clear" w:color="auto" w:fill="auto"/>
            <w:noWrap/>
            <w:vAlign w:val="center"/>
            <w:hideMark/>
          </w:tcPr>
          <w:p w14:paraId="0C8025F8" w14:textId="777D4E38" w:rsidR="00120F66" w:rsidRPr="009710F7" w:rsidRDefault="00120F66" w:rsidP="00120F66">
            <w:pPr>
              <w:jc w:val="center"/>
              <w:rPr>
                <w:rFonts w:cs="Arial"/>
                <w:szCs w:val="18"/>
              </w:rPr>
            </w:pPr>
            <w:r w:rsidRPr="009710F7">
              <w:rPr>
                <w:rFonts w:eastAsia="仿宋" w:cs="Arial"/>
                <w:szCs w:val="18"/>
              </w:rPr>
              <w:t>CI</w:t>
            </w:r>
          </w:p>
        </w:tc>
        <w:tc>
          <w:tcPr>
            <w:tcW w:w="550" w:type="pct"/>
            <w:tcBorders>
              <w:bottom w:val="single" w:sz="12" w:space="0" w:color="008000"/>
            </w:tcBorders>
            <w:shd w:val="clear" w:color="auto" w:fill="auto"/>
            <w:noWrap/>
            <w:vAlign w:val="center"/>
            <w:hideMark/>
          </w:tcPr>
          <w:p w14:paraId="2B3D476A" w14:textId="1D2E9FCD" w:rsidR="00120F66" w:rsidRPr="009710F7" w:rsidRDefault="00120F66" w:rsidP="00120F66">
            <w:pPr>
              <w:jc w:val="center"/>
              <w:rPr>
                <w:rFonts w:cs="Arial"/>
                <w:szCs w:val="18"/>
              </w:rPr>
            </w:pPr>
            <w:r w:rsidRPr="009710F7">
              <w:rPr>
                <w:rFonts w:eastAsia="仿宋" w:cs="Arial"/>
                <w:szCs w:val="18"/>
              </w:rPr>
              <w:t>0.06</w:t>
            </w:r>
          </w:p>
        </w:tc>
        <w:tc>
          <w:tcPr>
            <w:tcW w:w="550" w:type="pct"/>
            <w:tcBorders>
              <w:bottom w:val="single" w:sz="12" w:space="0" w:color="008000"/>
            </w:tcBorders>
            <w:shd w:val="clear" w:color="auto" w:fill="auto"/>
            <w:noWrap/>
            <w:vAlign w:val="center"/>
            <w:hideMark/>
          </w:tcPr>
          <w:p w14:paraId="68E9850F" w14:textId="77777777" w:rsidR="00120F66" w:rsidRPr="009710F7" w:rsidRDefault="00120F66" w:rsidP="00120F66">
            <w:pPr>
              <w:jc w:val="center"/>
              <w:rPr>
                <w:rFonts w:cs="Arial"/>
                <w:szCs w:val="18"/>
              </w:rPr>
            </w:pPr>
          </w:p>
        </w:tc>
        <w:tc>
          <w:tcPr>
            <w:tcW w:w="550" w:type="pct"/>
            <w:tcBorders>
              <w:bottom w:val="single" w:sz="12" w:space="0" w:color="008000"/>
            </w:tcBorders>
            <w:shd w:val="clear" w:color="auto" w:fill="auto"/>
            <w:noWrap/>
            <w:vAlign w:val="center"/>
          </w:tcPr>
          <w:p w14:paraId="61A286F2" w14:textId="20B52CDA" w:rsidR="00120F66" w:rsidRPr="009710F7" w:rsidRDefault="00120F66" w:rsidP="00120F66">
            <w:pPr>
              <w:jc w:val="center"/>
              <w:rPr>
                <w:rFonts w:eastAsia="仿宋" w:cs="Arial"/>
                <w:szCs w:val="18"/>
              </w:rPr>
            </w:pPr>
            <w:r w:rsidRPr="009710F7">
              <w:rPr>
                <w:rFonts w:eastAsia="仿宋" w:cs="Arial"/>
                <w:szCs w:val="18"/>
              </w:rPr>
              <w:t>CR</w:t>
            </w:r>
          </w:p>
        </w:tc>
        <w:tc>
          <w:tcPr>
            <w:tcW w:w="550" w:type="pct"/>
            <w:tcBorders>
              <w:bottom w:val="single" w:sz="12" w:space="0" w:color="008000"/>
            </w:tcBorders>
            <w:shd w:val="clear" w:color="auto" w:fill="auto"/>
            <w:noWrap/>
            <w:vAlign w:val="center"/>
          </w:tcPr>
          <w:p w14:paraId="331FE90D" w14:textId="61867592" w:rsidR="00120F66" w:rsidRPr="009710F7" w:rsidRDefault="00120F66" w:rsidP="00120F66">
            <w:pPr>
              <w:jc w:val="center"/>
              <w:rPr>
                <w:rFonts w:eastAsia="仿宋" w:cs="Arial"/>
                <w:szCs w:val="18"/>
              </w:rPr>
            </w:pPr>
            <w:r w:rsidRPr="009710F7">
              <w:rPr>
                <w:rFonts w:eastAsia="仿宋" w:cs="Arial"/>
                <w:szCs w:val="18"/>
              </w:rPr>
              <w:t>0.05</w:t>
            </w:r>
          </w:p>
        </w:tc>
      </w:tr>
    </w:tbl>
    <w:p w14:paraId="16617D46" w14:textId="1C6CF475" w:rsidR="00AA2DC1" w:rsidRPr="008A401A" w:rsidRDefault="005C3752" w:rsidP="005C3752">
      <w:pPr>
        <w:pStyle w:val="CETheadingx"/>
        <w:rPr>
          <w:rFonts w:cs="Arial"/>
        </w:rPr>
      </w:pPr>
      <w:r w:rsidRPr="008A401A">
        <w:rPr>
          <w:rFonts w:eastAsiaTheme="minorEastAsia" w:cs="Arial"/>
          <w:lang w:eastAsia="zh-CN"/>
        </w:rPr>
        <w:t>I</w:t>
      </w:r>
      <w:r w:rsidR="00AA2DC1" w:rsidRPr="008A401A">
        <w:rPr>
          <w:rFonts w:cs="Arial"/>
        </w:rPr>
        <w:t>ndicator</w:t>
      </w:r>
      <w:r w:rsidRPr="008A401A">
        <w:rPr>
          <w:rFonts w:cs="Arial"/>
        </w:rPr>
        <w:t xml:space="preserve"> Weight Adjustment</w:t>
      </w:r>
    </w:p>
    <w:p w14:paraId="350FA66B" w14:textId="2F57CAE8" w:rsidR="00AA2DC1" w:rsidRPr="008A401A" w:rsidRDefault="00936F50" w:rsidP="00AA2DC1">
      <w:pPr>
        <w:pStyle w:val="CETBodytext"/>
        <w:rPr>
          <w:rFonts w:eastAsiaTheme="minorEastAsia" w:cs="Arial"/>
          <w:lang w:val="en-GB" w:eastAsia="zh-CN"/>
        </w:rPr>
      </w:pPr>
      <w:r w:rsidRPr="00936F50">
        <w:rPr>
          <w:rFonts w:cs="Arial"/>
          <w:lang w:val="en-GB"/>
        </w:rPr>
        <w:t xml:space="preserve">Based on </w:t>
      </w:r>
      <w:r w:rsidRPr="00B76B12">
        <w:rPr>
          <w:rFonts w:cs="Arial"/>
          <w:i/>
          <w:iCs/>
          <w:lang w:val="en-GB"/>
        </w:rPr>
        <w:t>Tables 2 and 4</w:t>
      </w:r>
      <w:r w:rsidRPr="00936F50">
        <w:rPr>
          <w:rFonts w:cs="Arial"/>
          <w:lang w:val="en-GB"/>
        </w:rPr>
        <w:t xml:space="preserve">, we adjusted the weights again and observed their sensitivity performance. </w:t>
      </w:r>
      <w:r w:rsidR="006E2511" w:rsidRPr="006E2511">
        <w:rPr>
          <w:rFonts w:cs="Arial"/>
          <w:lang w:val="en-GB"/>
        </w:rPr>
        <w:t>Figure 2 shows the extent to which the adjustment of the weights of each indicator category affects the overall safety evaluation results as observed through the sensitivity analysis. It is clear from the figure that changes in the weights of the three indicator categories Equipment, Reaction and Process have a greater impact on the intrinsic safety score, whereas changes in Properties, Activity and Consequences have a smaller impact. This suggests that we should be careful when assigning weights. This suggests that when assigning weights, priority should be given to ensuring an accurate assessment of the weights of the equipment, reaction and process conditions indicators, as their weighting has a significant impact on the safety evaluation of the system.</w:t>
      </w:r>
    </w:p>
    <w:p w14:paraId="74F7C9D7" w14:textId="2714434A" w:rsidR="004F6B46" w:rsidRPr="008A401A" w:rsidRDefault="00EE4B0B" w:rsidP="00C80428">
      <w:pPr>
        <w:pStyle w:val="CETBodytext"/>
        <w:keepNext/>
        <w:jc w:val="center"/>
        <w:rPr>
          <w:rFonts w:eastAsiaTheme="minorEastAsia" w:cs="Arial"/>
          <w:lang w:val="en-GB" w:eastAsia="zh-CN"/>
        </w:rPr>
      </w:pPr>
      <w:r w:rsidRPr="008A401A">
        <w:rPr>
          <w:rFonts w:eastAsia="黑体" w:cs="Arial"/>
          <w:noProof/>
          <w:sz w:val="22"/>
        </w:rPr>
        <w:drawing>
          <wp:inline distT="0" distB="0" distL="0" distR="0" wp14:anchorId="4F66439A" wp14:editId="0B50CE7C">
            <wp:extent cx="2571158" cy="1971675"/>
            <wp:effectExtent l="0" t="0" r="635" b="0"/>
            <wp:docPr id="15972504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25046" name="图片 159725046"/>
                    <pic:cNvPicPr/>
                  </pic:nvPicPr>
                  <pic:blipFill>
                    <a:blip r:embed="rId11" cstate="print">
                      <a:extLst>
                        <a:ext uri="{28A0092B-C50C-407E-A947-70E740481C1C}">
                          <a14:useLocalDpi xmlns:a14="http://schemas.microsoft.com/office/drawing/2010/main"/>
                        </a:ext>
                      </a:extLst>
                    </a:blip>
                    <a:stretch>
                      <a:fillRect/>
                    </a:stretch>
                  </pic:blipFill>
                  <pic:spPr>
                    <a:xfrm>
                      <a:off x="0" y="0"/>
                      <a:ext cx="2592450" cy="1988003"/>
                    </a:xfrm>
                    <a:prstGeom prst="rect">
                      <a:avLst/>
                    </a:prstGeom>
                  </pic:spPr>
                </pic:pic>
              </a:graphicData>
            </a:graphic>
          </wp:inline>
        </w:drawing>
      </w:r>
    </w:p>
    <w:p w14:paraId="1AAF313C" w14:textId="2F6BB9AF" w:rsidR="00BB3E5E" w:rsidRPr="008A401A" w:rsidRDefault="00BB3E5E" w:rsidP="00D81B7C">
      <w:pPr>
        <w:pStyle w:val="CETCaption"/>
        <w:spacing w:beforeLines="50" w:before="120" w:afterLines="50" w:after="120"/>
        <w:jc w:val="center"/>
        <w:rPr>
          <w:rStyle w:val="CETCaptionCarattere"/>
          <w:rFonts w:eastAsiaTheme="minorEastAsia" w:cs="Arial"/>
          <w:i/>
          <w:lang w:eastAsia="zh-CN"/>
        </w:rPr>
      </w:pPr>
      <w:r w:rsidRPr="008A401A">
        <w:rPr>
          <w:rStyle w:val="CETCaptionCarattere"/>
          <w:rFonts w:cs="Arial"/>
          <w:i/>
        </w:rPr>
        <w:t xml:space="preserve">Figure </w:t>
      </w:r>
      <w:r w:rsidR="00F3114F" w:rsidRPr="008A401A">
        <w:rPr>
          <w:rStyle w:val="CETCaptionCarattere"/>
          <w:rFonts w:eastAsiaTheme="minorEastAsia" w:cs="Arial"/>
          <w:i/>
          <w:lang w:eastAsia="zh-CN"/>
        </w:rPr>
        <w:t>2</w:t>
      </w:r>
      <w:r w:rsidRPr="008A401A">
        <w:rPr>
          <w:rStyle w:val="CETCaptionCarattere"/>
          <w:rFonts w:cs="Arial"/>
          <w:i/>
        </w:rPr>
        <w:t xml:space="preserve">: </w:t>
      </w:r>
      <w:r w:rsidR="002052EC" w:rsidRPr="008A401A">
        <w:rPr>
          <w:rStyle w:val="CETCaptionCarattere"/>
          <w:rFonts w:cs="Arial"/>
          <w:i/>
        </w:rPr>
        <w:t>electrocatalysis closeness across dimensions</w:t>
      </w:r>
    </w:p>
    <w:p w14:paraId="68D26B83" w14:textId="77777777" w:rsidR="00600535" w:rsidRPr="008A401A" w:rsidRDefault="00600535" w:rsidP="00611D18">
      <w:pPr>
        <w:pStyle w:val="CETHeading1"/>
        <w:spacing w:before="0" w:after="0"/>
        <w:rPr>
          <w:rFonts w:cs="Arial"/>
          <w:lang w:val="en-GB"/>
        </w:rPr>
      </w:pPr>
      <w:r w:rsidRPr="008A401A">
        <w:rPr>
          <w:rFonts w:cs="Arial"/>
          <w:lang w:val="en-GB"/>
        </w:rPr>
        <w:t>Conclusions</w:t>
      </w:r>
    </w:p>
    <w:p w14:paraId="2D135FE8" w14:textId="77777777" w:rsidR="00B5666D" w:rsidRPr="00B5666D" w:rsidRDefault="00B5666D" w:rsidP="00B5666D">
      <w:pPr>
        <w:pStyle w:val="CETBodytext"/>
        <w:rPr>
          <w:rFonts w:cs="Arial"/>
          <w:lang w:val="en-GB"/>
        </w:rPr>
      </w:pPr>
      <w:r w:rsidRPr="00B5666D">
        <w:rPr>
          <w:rFonts w:cs="Arial"/>
          <w:lang w:val="en-GB"/>
        </w:rPr>
        <w:t xml:space="preserve">The inherent safety score for hydrogen production via water electrolysis, calculated based on the final weights of secondary indicators, is 0.433. Sensitivity analysis indicates that changes in weights have the least impact on physical properties, activity, and consequences, while having the greatest impact on equipment, followed by reactions and processes. This finding underscores the critical importance of </w:t>
      </w:r>
      <w:r w:rsidRPr="00B5666D">
        <w:rPr>
          <w:rFonts w:cs="Arial"/>
          <w:lang w:val="en-GB"/>
        </w:rPr>
        <w:lastRenderedPageBreak/>
        <w:t>selecting weights for equipment, reactions, and processes in the assessment of inherent safety for hydrogen production via water electrolysis.</w:t>
      </w:r>
    </w:p>
    <w:p w14:paraId="52DAFDE0" w14:textId="7076C513" w:rsidR="001D0CFB" w:rsidRPr="00B5666D" w:rsidRDefault="00B5666D" w:rsidP="00B5666D">
      <w:pPr>
        <w:pStyle w:val="CETBodytext"/>
        <w:rPr>
          <w:rFonts w:eastAsiaTheme="minorEastAsia" w:cs="Arial"/>
          <w:lang w:val="en-GB" w:eastAsia="zh-CN"/>
        </w:rPr>
      </w:pPr>
      <w:r w:rsidRPr="00B5666D">
        <w:rPr>
          <w:rFonts w:cs="Arial"/>
          <w:lang w:val="en-GB"/>
        </w:rPr>
        <w:t>This framework reveals the inherent safety performance of hydrogen electrolysis production, which can be used to guide safety improvements and promote technological advancement.</w:t>
      </w:r>
    </w:p>
    <w:p w14:paraId="4F1327F8" w14:textId="77777777" w:rsidR="00600535" w:rsidRPr="008A401A" w:rsidRDefault="00600535" w:rsidP="003965A3">
      <w:pPr>
        <w:pStyle w:val="CETReference"/>
        <w:spacing w:before="0" w:after="0"/>
        <w:rPr>
          <w:rFonts w:eastAsiaTheme="minorEastAsia" w:cs="Arial"/>
          <w:lang w:eastAsia="zh-CN"/>
        </w:rPr>
      </w:pPr>
      <w:r w:rsidRPr="008A401A">
        <w:rPr>
          <w:rFonts w:cs="Arial"/>
        </w:rPr>
        <w:t>References</w:t>
      </w:r>
    </w:p>
    <w:p w14:paraId="779F7A21" w14:textId="27CC57F7" w:rsidR="009447F6" w:rsidRPr="009447F6" w:rsidRDefault="009447F6" w:rsidP="006B41C4">
      <w:pPr>
        <w:pStyle w:val="CETBodytext"/>
        <w:spacing w:beforeLines="10" w:before="24"/>
        <w:ind w:left="360" w:hangingChars="200" w:hanging="360"/>
        <w:rPr>
          <w:rFonts w:eastAsiaTheme="minorEastAsia" w:cs="Arial" w:hint="eastAsia"/>
          <w:lang w:val="en-GB" w:eastAsia="zh-CN"/>
        </w:rPr>
      </w:pPr>
      <w:proofErr w:type="spellStart"/>
      <w:r w:rsidRPr="009447F6">
        <w:rPr>
          <w:rFonts w:eastAsiaTheme="minorEastAsia" w:cs="Arial"/>
          <w:lang w:val="en-GB" w:eastAsia="zh-CN"/>
        </w:rPr>
        <w:t>Buchmayr</w:t>
      </w:r>
      <w:proofErr w:type="spellEnd"/>
      <w:r w:rsidRPr="009447F6">
        <w:rPr>
          <w:rFonts w:eastAsiaTheme="minorEastAsia" w:cs="Arial"/>
          <w:lang w:val="en-GB" w:eastAsia="zh-CN"/>
        </w:rPr>
        <w:t xml:space="preserve">, A., et al., 2023, A distance-to-sustainability-target approach for indicator aggregation and its application for the comparison of wind energy alternatives, *Renewable and Sustainable Energy Reviews, </w:t>
      </w:r>
      <w:proofErr w:type="gramStart"/>
      <w:r w:rsidRPr="009447F6">
        <w:rPr>
          <w:rFonts w:eastAsiaTheme="minorEastAsia" w:cs="Arial"/>
          <w:lang w:val="en-GB" w:eastAsia="zh-CN"/>
        </w:rPr>
        <w:t>185,*</w:t>
      </w:r>
      <w:proofErr w:type="gramEnd"/>
      <w:r w:rsidRPr="009447F6">
        <w:rPr>
          <w:rFonts w:eastAsiaTheme="minorEastAsia" w:cs="Arial"/>
          <w:lang w:val="en-GB" w:eastAsia="zh-CN"/>
        </w:rPr>
        <w:t xml:space="preserve"> 113608.</w:t>
      </w:r>
    </w:p>
    <w:p w14:paraId="4A075AF6" w14:textId="29A7DCBF" w:rsidR="009447F6" w:rsidRPr="009447F6" w:rsidRDefault="009447F6" w:rsidP="006B41C4">
      <w:pPr>
        <w:pStyle w:val="CETBodytext"/>
        <w:spacing w:beforeLines="10" w:before="24"/>
        <w:ind w:left="360" w:hangingChars="200" w:hanging="360"/>
        <w:rPr>
          <w:rFonts w:eastAsiaTheme="minorEastAsia" w:cs="Arial" w:hint="eastAsia"/>
          <w:lang w:val="en-GB" w:eastAsia="zh-CN"/>
        </w:rPr>
      </w:pPr>
      <w:r w:rsidRPr="009447F6">
        <w:rPr>
          <w:rFonts w:eastAsiaTheme="minorEastAsia" w:cs="Arial"/>
          <w:lang w:val="en-GB" w:eastAsia="zh-CN"/>
        </w:rPr>
        <w:t xml:space="preserve">Deng, Z., et al., 2024, Inherent safety assessment of on-board methanol reforming hydrogen production fuel cell system considering jet fire and vapor cloud explosion, *International Journal of Hydrogen Energy, </w:t>
      </w:r>
      <w:proofErr w:type="gramStart"/>
      <w:r w:rsidRPr="009447F6">
        <w:rPr>
          <w:rFonts w:eastAsiaTheme="minorEastAsia" w:cs="Arial"/>
          <w:lang w:val="en-GB" w:eastAsia="zh-CN"/>
        </w:rPr>
        <w:t>50,*</w:t>
      </w:r>
      <w:proofErr w:type="gramEnd"/>
      <w:r w:rsidRPr="009447F6">
        <w:rPr>
          <w:rFonts w:eastAsiaTheme="minorEastAsia" w:cs="Arial"/>
          <w:lang w:val="en-GB" w:eastAsia="zh-CN"/>
        </w:rPr>
        <w:t xml:space="preserve"> 1047–1061.</w:t>
      </w:r>
    </w:p>
    <w:p w14:paraId="10A58682" w14:textId="3AA0108E" w:rsidR="009447F6" w:rsidRPr="009447F6" w:rsidRDefault="009447F6" w:rsidP="006B41C4">
      <w:pPr>
        <w:pStyle w:val="CETBodytext"/>
        <w:spacing w:beforeLines="10" w:before="24"/>
        <w:ind w:left="360" w:hangingChars="200" w:hanging="360"/>
        <w:rPr>
          <w:rFonts w:eastAsiaTheme="minorEastAsia" w:cs="Arial" w:hint="eastAsia"/>
          <w:lang w:val="en-GB" w:eastAsia="zh-CN"/>
        </w:rPr>
      </w:pPr>
      <w:r w:rsidRPr="009447F6">
        <w:rPr>
          <w:rFonts w:eastAsiaTheme="minorEastAsia" w:cs="Arial"/>
          <w:lang w:val="en-GB" w:eastAsia="zh-CN"/>
        </w:rPr>
        <w:t xml:space="preserve">Gao, X., et al., 2023, Bayesian </w:t>
      </w:r>
      <w:proofErr w:type="gramStart"/>
      <w:r w:rsidRPr="009447F6">
        <w:rPr>
          <w:rFonts w:eastAsiaTheme="minorEastAsia" w:cs="Arial"/>
          <w:lang w:val="en-GB" w:eastAsia="zh-CN"/>
        </w:rPr>
        <w:t>networks based</w:t>
      </w:r>
      <w:proofErr w:type="gramEnd"/>
      <w:r w:rsidRPr="009447F6">
        <w:rPr>
          <w:rFonts w:eastAsiaTheme="minorEastAsia" w:cs="Arial"/>
          <w:lang w:val="en-GB" w:eastAsia="zh-CN"/>
        </w:rPr>
        <w:t xml:space="preserve"> laboratory retrofitting towards inherent safety: A risk-based implementation framework, *Journal of Loss Prevention in the Process Industries, </w:t>
      </w:r>
      <w:proofErr w:type="gramStart"/>
      <w:r w:rsidRPr="009447F6">
        <w:rPr>
          <w:rFonts w:eastAsiaTheme="minorEastAsia" w:cs="Arial"/>
          <w:lang w:val="en-GB" w:eastAsia="zh-CN"/>
        </w:rPr>
        <w:t>83,*</w:t>
      </w:r>
      <w:proofErr w:type="gramEnd"/>
      <w:r w:rsidRPr="009447F6">
        <w:rPr>
          <w:rFonts w:eastAsiaTheme="minorEastAsia" w:cs="Arial"/>
          <w:lang w:val="en-GB" w:eastAsia="zh-CN"/>
        </w:rPr>
        <w:t xml:space="preserve"> 105036.</w:t>
      </w:r>
    </w:p>
    <w:p w14:paraId="7B7423DD" w14:textId="499A2C3E" w:rsidR="009447F6" w:rsidRPr="009447F6" w:rsidRDefault="009447F6" w:rsidP="006B41C4">
      <w:pPr>
        <w:pStyle w:val="CETBodytext"/>
        <w:spacing w:beforeLines="10" w:before="24"/>
        <w:ind w:left="360" w:hangingChars="200" w:hanging="360"/>
        <w:rPr>
          <w:rFonts w:eastAsiaTheme="minorEastAsia" w:cs="Arial" w:hint="eastAsia"/>
          <w:lang w:val="en-GB" w:eastAsia="zh-CN"/>
        </w:rPr>
      </w:pPr>
      <w:r w:rsidRPr="009447F6">
        <w:rPr>
          <w:rFonts w:eastAsiaTheme="minorEastAsia" w:cs="Arial"/>
          <w:lang w:val="en-GB" w:eastAsia="zh-CN"/>
        </w:rPr>
        <w:t xml:space="preserve">Gao, X., et al., 2024, A mechanistic framework for the leakage risk reduction of mobile hydrogen </w:t>
      </w:r>
      <w:proofErr w:type="spellStart"/>
      <w:r w:rsidRPr="009447F6">
        <w:rPr>
          <w:rFonts w:eastAsiaTheme="minorEastAsia" w:cs="Arial"/>
          <w:lang w:val="en-GB" w:eastAsia="zh-CN"/>
        </w:rPr>
        <w:t>refueling</w:t>
      </w:r>
      <w:proofErr w:type="spellEnd"/>
      <w:r w:rsidRPr="009447F6">
        <w:rPr>
          <w:rFonts w:eastAsiaTheme="minorEastAsia" w:cs="Arial"/>
          <w:lang w:val="en-GB" w:eastAsia="zh-CN"/>
        </w:rPr>
        <w:t xml:space="preserve"> stations based on inherent safety concepts, *International Journal of Hydrogen Energy, </w:t>
      </w:r>
      <w:proofErr w:type="gramStart"/>
      <w:r w:rsidRPr="009447F6">
        <w:rPr>
          <w:rFonts w:eastAsiaTheme="minorEastAsia" w:cs="Arial"/>
          <w:lang w:val="en-GB" w:eastAsia="zh-CN"/>
        </w:rPr>
        <w:t>83,*</w:t>
      </w:r>
      <w:proofErr w:type="gramEnd"/>
      <w:r w:rsidRPr="009447F6">
        <w:rPr>
          <w:rFonts w:eastAsiaTheme="minorEastAsia" w:cs="Arial"/>
          <w:lang w:val="en-GB" w:eastAsia="zh-CN"/>
        </w:rPr>
        <w:t xml:space="preserve"> 1370–1384.</w:t>
      </w:r>
    </w:p>
    <w:p w14:paraId="1A302732" w14:textId="5C33C85B" w:rsidR="009447F6" w:rsidRPr="009447F6" w:rsidRDefault="009447F6" w:rsidP="006B41C4">
      <w:pPr>
        <w:pStyle w:val="CETBodytext"/>
        <w:spacing w:beforeLines="10" w:before="24"/>
        <w:ind w:left="360" w:hangingChars="200" w:hanging="360"/>
        <w:rPr>
          <w:rFonts w:eastAsiaTheme="minorEastAsia" w:cs="Arial" w:hint="eastAsia"/>
          <w:lang w:val="en-GB" w:eastAsia="zh-CN"/>
        </w:rPr>
      </w:pPr>
      <w:r w:rsidRPr="009447F6">
        <w:rPr>
          <w:rFonts w:eastAsiaTheme="minorEastAsia" w:cs="Arial"/>
          <w:lang w:val="en-GB" w:eastAsia="zh-CN"/>
        </w:rPr>
        <w:t xml:space="preserve">Liu, Z., et al., 2024, A novel inherent safety index for reactive hazard evaluation integrating thermal and pressure effects, *Process Safety and Environmental Protection, </w:t>
      </w:r>
      <w:proofErr w:type="gramStart"/>
      <w:r w:rsidRPr="009447F6">
        <w:rPr>
          <w:rFonts w:eastAsiaTheme="minorEastAsia" w:cs="Arial"/>
          <w:lang w:val="en-GB" w:eastAsia="zh-CN"/>
        </w:rPr>
        <w:t>187,*</w:t>
      </w:r>
      <w:proofErr w:type="gramEnd"/>
      <w:r w:rsidRPr="009447F6">
        <w:rPr>
          <w:rFonts w:eastAsiaTheme="minorEastAsia" w:cs="Arial"/>
          <w:lang w:val="en-GB" w:eastAsia="zh-CN"/>
        </w:rPr>
        <w:t xml:space="preserve"> 1586–1595.</w:t>
      </w:r>
    </w:p>
    <w:p w14:paraId="26D66BB1" w14:textId="53180990" w:rsidR="009447F6" w:rsidRPr="009447F6" w:rsidRDefault="009447F6" w:rsidP="006B41C4">
      <w:pPr>
        <w:pStyle w:val="CETBodytext"/>
        <w:spacing w:beforeLines="10" w:before="24"/>
        <w:ind w:left="360" w:hangingChars="200" w:hanging="360"/>
        <w:rPr>
          <w:rFonts w:eastAsiaTheme="minorEastAsia" w:cs="Arial" w:hint="eastAsia"/>
          <w:lang w:val="en-GB" w:eastAsia="zh-CN"/>
        </w:rPr>
      </w:pPr>
      <w:r w:rsidRPr="009447F6">
        <w:rPr>
          <w:rFonts w:eastAsiaTheme="minorEastAsia" w:cs="Arial"/>
          <w:lang w:val="en-GB" w:eastAsia="zh-CN"/>
        </w:rPr>
        <w:t xml:space="preserve">Norouzi, H., Baradaran, S., &amp; </w:t>
      </w:r>
      <w:proofErr w:type="spellStart"/>
      <w:r w:rsidRPr="009447F6">
        <w:rPr>
          <w:rFonts w:eastAsiaTheme="minorEastAsia" w:cs="Arial"/>
          <w:lang w:val="en-GB" w:eastAsia="zh-CN"/>
        </w:rPr>
        <w:t>Sobati</w:t>
      </w:r>
      <w:proofErr w:type="spellEnd"/>
      <w:r w:rsidRPr="009447F6">
        <w:rPr>
          <w:rFonts w:eastAsiaTheme="minorEastAsia" w:cs="Arial"/>
          <w:lang w:val="en-GB" w:eastAsia="zh-CN"/>
        </w:rPr>
        <w:t xml:space="preserve">, M.A., 2024, Developing a novel anticipated inherent risk assessment approach applicable in early stages of process design, *Process Safety and Environmental Protection, </w:t>
      </w:r>
      <w:proofErr w:type="gramStart"/>
      <w:r w:rsidRPr="009447F6">
        <w:rPr>
          <w:rFonts w:eastAsiaTheme="minorEastAsia" w:cs="Arial"/>
          <w:lang w:val="en-GB" w:eastAsia="zh-CN"/>
        </w:rPr>
        <w:t>191,*</w:t>
      </w:r>
      <w:proofErr w:type="gramEnd"/>
      <w:r w:rsidRPr="009447F6">
        <w:rPr>
          <w:rFonts w:eastAsiaTheme="minorEastAsia" w:cs="Arial"/>
          <w:lang w:val="en-GB" w:eastAsia="zh-CN"/>
        </w:rPr>
        <w:t xml:space="preserve"> 2165–2177.</w:t>
      </w:r>
    </w:p>
    <w:p w14:paraId="6D58A385" w14:textId="0FB94EFD" w:rsidR="009447F6" w:rsidRDefault="009447F6" w:rsidP="006B41C4">
      <w:pPr>
        <w:pStyle w:val="CETBodytext"/>
        <w:spacing w:beforeLines="10" w:before="24"/>
        <w:ind w:left="360" w:hangingChars="200" w:hanging="360"/>
        <w:rPr>
          <w:rFonts w:eastAsiaTheme="minorEastAsia" w:cs="Arial"/>
          <w:lang w:val="en-GB" w:eastAsia="zh-CN"/>
        </w:rPr>
      </w:pPr>
      <w:r w:rsidRPr="009447F6">
        <w:rPr>
          <w:rFonts w:eastAsiaTheme="minorEastAsia" w:cs="Arial"/>
          <w:lang w:val="en-GB" w:eastAsia="zh-CN"/>
        </w:rPr>
        <w:t xml:space="preserve">Park, S., et al., 2020, Incorporating inherent safety during the conceptual process design stage: A literature review, *Journal of Loss Prevention in the Process Industries, </w:t>
      </w:r>
      <w:proofErr w:type="gramStart"/>
      <w:r w:rsidRPr="009447F6">
        <w:rPr>
          <w:rFonts w:eastAsiaTheme="minorEastAsia" w:cs="Arial"/>
          <w:lang w:val="en-GB" w:eastAsia="zh-CN"/>
        </w:rPr>
        <w:t>63,*</w:t>
      </w:r>
      <w:proofErr w:type="gramEnd"/>
      <w:r w:rsidRPr="009447F6">
        <w:rPr>
          <w:rFonts w:eastAsiaTheme="minorEastAsia" w:cs="Arial"/>
          <w:lang w:val="en-GB" w:eastAsia="zh-CN"/>
        </w:rPr>
        <w:t xml:space="preserve"> 104040.</w:t>
      </w:r>
    </w:p>
    <w:p w14:paraId="53414723" w14:textId="68BAA381" w:rsidR="00B10312" w:rsidRPr="005122BB" w:rsidRDefault="00B10312" w:rsidP="006B41C4">
      <w:pPr>
        <w:pStyle w:val="CETBodytext"/>
        <w:spacing w:beforeLines="10" w:before="24"/>
        <w:ind w:left="360" w:hangingChars="200" w:hanging="360"/>
        <w:rPr>
          <w:rFonts w:eastAsiaTheme="minorEastAsia" w:cs="Arial" w:hint="eastAsia"/>
          <w:lang w:val="en-GB" w:eastAsia="zh-CN"/>
        </w:rPr>
      </w:pPr>
      <w:r w:rsidRPr="005122BB">
        <w:t>Park, S., Pasman, H. J., &amp; El-</w:t>
      </w:r>
      <w:proofErr w:type="spellStart"/>
      <w:r w:rsidRPr="005122BB">
        <w:t>Halwagi</w:t>
      </w:r>
      <w:proofErr w:type="spellEnd"/>
      <w:r w:rsidRPr="005122BB">
        <w:t xml:space="preserve">, M. M., 2022, Progress in Inherently Safer Design for Chemical Processes, </w:t>
      </w:r>
      <w:r w:rsidRPr="005122BB">
        <w:rPr>
          <w:rStyle w:val="afffe"/>
        </w:rPr>
        <w:t>Chemical Engineering Transactions, 90,</w:t>
      </w:r>
      <w:r w:rsidRPr="005122BB">
        <w:t xml:space="preserve"> 463–468.</w:t>
      </w:r>
    </w:p>
    <w:p w14:paraId="3F8B65F6" w14:textId="7CE2468B" w:rsidR="009447F6" w:rsidRPr="009447F6" w:rsidRDefault="009447F6" w:rsidP="006B41C4">
      <w:pPr>
        <w:pStyle w:val="CETBodytext"/>
        <w:spacing w:beforeLines="10" w:before="24"/>
        <w:ind w:left="360" w:hangingChars="200" w:hanging="360"/>
        <w:rPr>
          <w:rFonts w:eastAsiaTheme="minorEastAsia" w:cs="Arial" w:hint="eastAsia"/>
          <w:lang w:val="en-GB" w:eastAsia="zh-CN"/>
        </w:rPr>
      </w:pPr>
      <w:r w:rsidRPr="009447F6">
        <w:rPr>
          <w:rFonts w:eastAsiaTheme="minorEastAsia" w:cs="Arial"/>
          <w:lang w:val="en-GB" w:eastAsia="zh-CN"/>
        </w:rPr>
        <w:t xml:space="preserve">Pu, W., Raman, A.A.A., et al., 2024, Development of comprehensive healthier process plants based on inherent safety concept, *Process Safety and Environmental Protection, </w:t>
      </w:r>
      <w:proofErr w:type="gramStart"/>
      <w:r w:rsidRPr="009447F6">
        <w:rPr>
          <w:rFonts w:eastAsiaTheme="minorEastAsia" w:cs="Arial"/>
          <w:lang w:val="en-GB" w:eastAsia="zh-CN"/>
        </w:rPr>
        <w:t>184,*</w:t>
      </w:r>
      <w:proofErr w:type="gramEnd"/>
      <w:r w:rsidRPr="009447F6">
        <w:rPr>
          <w:rFonts w:eastAsiaTheme="minorEastAsia" w:cs="Arial"/>
          <w:lang w:val="en-GB" w:eastAsia="zh-CN"/>
        </w:rPr>
        <w:t xml:space="preserve"> 804–822.</w:t>
      </w:r>
    </w:p>
    <w:p w14:paraId="044C2235" w14:textId="76BE4822" w:rsidR="009447F6" w:rsidRPr="009447F6" w:rsidRDefault="009447F6" w:rsidP="006B41C4">
      <w:pPr>
        <w:pStyle w:val="CETBodytext"/>
        <w:spacing w:beforeLines="10" w:before="24"/>
        <w:ind w:left="360" w:hangingChars="200" w:hanging="360"/>
        <w:rPr>
          <w:rFonts w:eastAsiaTheme="minorEastAsia" w:cs="Arial" w:hint="eastAsia"/>
          <w:lang w:val="en-GB" w:eastAsia="zh-CN"/>
        </w:rPr>
      </w:pPr>
      <w:r w:rsidRPr="009447F6">
        <w:rPr>
          <w:rFonts w:eastAsiaTheme="minorEastAsia" w:cs="Arial"/>
          <w:lang w:val="en-GB" w:eastAsia="zh-CN"/>
        </w:rPr>
        <w:t xml:space="preserve">Pu, W., Abdul Raman, A.A., et al., 2024, Process &amp; occupational safety integrated inherently safer chemical plant design: Framework development and validation, *Journal of Loss Prevention in the Process Industries, </w:t>
      </w:r>
      <w:proofErr w:type="gramStart"/>
      <w:r w:rsidRPr="009447F6">
        <w:rPr>
          <w:rFonts w:eastAsiaTheme="minorEastAsia" w:cs="Arial"/>
          <w:lang w:val="en-GB" w:eastAsia="zh-CN"/>
        </w:rPr>
        <w:t>87,*</w:t>
      </w:r>
      <w:proofErr w:type="gramEnd"/>
      <w:r w:rsidRPr="009447F6">
        <w:rPr>
          <w:rFonts w:eastAsiaTheme="minorEastAsia" w:cs="Arial"/>
          <w:lang w:val="en-GB" w:eastAsia="zh-CN"/>
        </w:rPr>
        <w:t xml:space="preserve"> 105204.</w:t>
      </w:r>
    </w:p>
    <w:p w14:paraId="016FFF80" w14:textId="77C90B2A" w:rsidR="00563F0B" w:rsidRDefault="009447F6" w:rsidP="006B41C4">
      <w:pPr>
        <w:pStyle w:val="CETBodytext"/>
        <w:spacing w:beforeLines="10" w:before="24"/>
        <w:ind w:left="360" w:hangingChars="200" w:hanging="360"/>
        <w:rPr>
          <w:rFonts w:eastAsiaTheme="minorEastAsia" w:cs="Arial"/>
          <w:lang w:val="en-GB" w:eastAsia="zh-CN"/>
        </w:rPr>
      </w:pPr>
      <w:r w:rsidRPr="009447F6">
        <w:rPr>
          <w:rFonts w:eastAsiaTheme="minorEastAsia" w:cs="Arial"/>
          <w:lang w:val="en-GB" w:eastAsia="zh-CN"/>
        </w:rPr>
        <w:t xml:space="preserve">Qian, Y., </w:t>
      </w:r>
      <w:proofErr w:type="spellStart"/>
      <w:r w:rsidRPr="009447F6">
        <w:rPr>
          <w:rFonts w:eastAsiaTheme="minorEastAsia" w:cs="Arial"/>
          <w:lang w:val="en-GB" w:eastAsia="zh-CN"/>
        </w:rPr>
        <w:t>Vaddiraju</w:t>
      </w:r>
      <w:proofErr w:type="spellEnd"/>
      <w:r w:rsidRPr="009447F6">
        <w:rPr>
          <w:rFonts w:eastAsiaTheme="minorEastAsia" w:cs="Arial"/>
          <w:lang w:val="en-GB" w:eastAsia="zh-CN"/>
        </w:rPr>
        <w:t xml:space="preserve">, S., &amp; Khan, F., 2024, Inherent Process Risk Index (IPRI) – A tool for </w:t>
      </w:r>
      <w:proofErr w:type="spellStart"/>
      <w:r w:rsidRPr="009447F6">
        <w:rPr>
          <w:rFonts w:eastAsiaTheme="minorEastAsia" w:cs="Arial"/>
          <w:lang w:val="en-GB" w:eastAsia="zh-CN"/>
        </w:rPr>
        <w:t>analyzing</w:t>
      </w:r>
      <w:proofErr w:type="spellEnd"/>
      <w:r w:rsidRPr="009447F6">
        <w:rPr>
          <w:rFonts w:eastAsiaTheme="minorEastAsia" w:cs="Arial"/>
          <w:lang w:val="en-GB" w:eastAsia="zh-CN"/>
        </w:rPr>
        <w:t xml:space="preserve"> inherently safer design using Aspen Plus simulation, *Process Safety and Environmental Protection, </w:t>
      </w:r>
      <w:proofErr w:type="gramStart"/>
      <w:r w:rsidRPr="009447F6">
        <w:rPr>
          <w:rFonts w:eastAsiaTheme="minorEastAsia" w:cs="Arial"/>
          <w:lang w:val="en-GB" w:eastAsia="zh-CN"/>
        </w:rPr>
        <w:t>183,*</w:t>
      </w:r>
      <w:proofErr w:type="gramEnd"/>
      <w:r w:rsidRPr="009447F6">
        <w:rPr>
          <w:rFonts w:eastAsiaTheme="minorEastAsia" w:cs="Arial"/>
          <w:lang w:val="en-GB" w:eastAsia="zh-CN"/>
        </w:rPr>
        <w:t xml:space="preserve"> 399–416.</w:t>
      </w:r>
    </w:p>
    <w:p w14:paraId="36C37F34" w14:textId="77777777" w:rsidR="0084427A" w:rsidRDefault="0084427A" w:rsidP="009447F6">
      <w:pPr>
        <w:pStyle w:val="CETBodytext"/>
        <w:spacing w:beforeLines="10" w:before="24"/>
        <w:rPr>
          <w:rFonts w:eastAsiaTheme="minorEastAsia" w:cs="Arial"/>
          <w:lang w:val="en-GB" w:eastAsia="zh-CN"/>
        </w:rPr>
      </w:pPr>
    </w:p>
    <w:p w14:paraId="137C6511" w14:textId="77777777" w:rsidR="0084427A" w:rsidRPr="0084427A" w:rsidRDefault="0084427A" w:rsidP="009447F6">
      <w:pPr>
        <w:pStyle w:val="CETBodytext"/>
        <w:spacing w:beforeLines="10" w:before="24"/>
        <w:rPr>
          <w:rFonts w:eastAsiaTheme="minorEastAsia" w:cs="Arial" w:hint="eastAsia"/>
          <w:lang w:eastAsia="zh-CN"/>
        </w:rPr>
      </w:pPr>
    </w:p>
    <w:sectPr w:rsidR="0084427A" w:rsidRPr="0084427A" w:rsidSect="00766B2D">
      <w:type w:val="continuous"/>
      <w:pgSz w:w="11906" w:h="16838"/>
      <w:pgMar w:top="1440" w:right="1797" w:bottom="1440" w:left="1797"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8D10B" w14:textId="77777777" w:rsidR="00300A85" w:rsidRDefault="00300A85" w:rsidP="004F5E36">
      <w:r>
        <w:separator/>
      </w:r>
    </w:p>
  </w:endnote>
  <w:endnote w:type="continuationSeparator" w:id="0">
    <w:p w14:paraId="3DF4D7DB" w14:textId="77777777" w:rsidR="00300A85" w:rsidRDefault="00300A8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0C435" w14:textId="77777777" w:rsidR="00300A85" w:rsidRDefault="00300A85" w:rsidP="004F5E36">
      <w:r>
        <w:separator/>
      </w:r>
    </w:p>
  </w:footnote>
  <w:footnote w:type="continuationSeparator" w:id="0">
    <w:p w14:paraId="4A41129F" w14:textId="77777777" w:rsidR="00300A85" w:rsidRDefault="00300A8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 w:numId="24" w16cid:durableId="19163530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wFACte/oUtAAAA"/>
  </w:docVars>
  <w:rsids>
    <w:rsidRoot w:val="000E414A"/>
    <w:rsid w:val="000027C0"/>
    <w:rsid w:val="0000375F"/>
    <w:rsid w:val="000052FB"/>
    <w:rsid w:val="00005A19"/>
    <w:rsid w:val="000117CB"/>
    <w:rsid w:val="0003148D"/>
    <w:rsid w:val="00031EEC"/>
    <w:rsid w:val="00034E51"/>
    <w:rsid w:val="0003795B"/>
    <w:rsid w:val="0004450E"/>
    <w:rsid w:val="00045C04"/>
    <w:rsid w:val="00051566"/>
    <w:rsid w:val="00054E83"/>
    <w:rsid w:val="000562A9"/>
    <w:rsid w:val="00060EED"/>
    <w:rsid w:val="00062A9A"/>
    <w:rsid w:val="00065058"/>
    <w:rsid w:val="00065BFC"/>
    <w:rsid w:val="00075C54"/>
    <w:rsid w:val="00085645"/>
    <w:rsid w:val="00085DE8"/>
    <w:rsid w:val="00086C39"/>
    <w:rsid w:val="00087EA8"/>
    <w:rsid w:val="000A03B2"/>
    <w:rsid w:val="000A2BCD"/>
    <w:rsid w:val="000A4E1A"/>
    <w:rsid w:val="000A57A0"/>
    <w:rsid w:val="000A66BC"/>
    <w:rsid w:val="000B004D"/>
    <w:rsid w:val="000B168F"/>
    <w:rsid w:val="000B3043"/>
    <w:rsid w:val="000C465A"/>
    <w:rsid w:val="000D0268"/>
    <w:rsid w:val="000D34BE"/>
    <w:rsid w:val="000D3653"/>
    <w:rsid w:val="000D71A1"/>
    <w:rsid w:val="000E0B3C"/>
    <w:rsid w:val="000E0D8D"/>
    <w:rsid w:val="000E102F"/>
    <w:rsid w:val="000E36F1"/>
    <w:rsid w:val="000E3A73"/>
    <w:rsid w:val="000E3C09"/>
    <w:rsid w:val="000E414A"/>
    <w:rsid w:val="000E75FD"/>
    <w:rsid w:val="000F093C"/>
    <w:rsid w:val="000F1521"/>
    <w:rsid w:val="000F15FB"/>
    <w:rsid w:val="000F6061"/>
    <w:rsid w:val="000F6810"/>
    <w:rsid w:val="000F787B"/>
    <w:rsid w:val="001056C4"/>
    <w:rsid w:val="0011473E"/>
    <w:rsid w:val="00115838"/>
    <w:rsid w:val="00115898"/>
    <w:rsid w:val="001168A5"/>
    <w:rsid w:val="0012091F"/>
    <w:rsid w:val="00120F66"/>
    <w:rsid w:val="001241E6"/>
    <w:rsid w:val="00124762"/>
    <w:rsid w:val="00126BC2"/>
    <w:rsid w:val="001308B6"/>
    <w:rsid w:val="0013121F"/>
    <w:rsid w:val="00131FE6"/>
    <w:rsid w:val="0013263F"/>
    <w:rsid w:val="001331DF"/>
    <w:rsid w:val="00134DE4"/>
    <w:rsid w:val="0014034D"/>
    <w:rsid w:val="00140FE3"/>
    <w:rsid w:val="00144D16"/>
    <w:rsid w:val="0014699B"/>
    <w:rsid w:val="00150E59"/>
    <w:rsid w:val="00152DE3"/>
    <w:rsid w:val="00157B41"/>
    <w:rsid w:val="00161311"/>
    <w:rsid w:val="00161E6B"/>
    <w:rsid w:val="00164CF9"/>
    <w:rsid w:val="001653DA"/>
    <w:rsid w:val="0016668E"/>
    <w:rsid w:val="001667A6"/>
    <w:rsid w:val="0018171E"/>
    <w:rsid w:val="00181AF6"/>
    <w:rsid w:val="00184AD6"/>
    <w:rsid w:val="00190E1E"/>
    <w:rsid w:val="00192E68"/>
    <w:rsid w:val="00193C67"/>
    <w:rsid w:val="00195B57"/>
    <w:rsid w:val="001A17F8"/>
    <w:rsid w:val="001A4AF7"/>
    <w:rsid w:val="001A4E20"/>
    <w:rsid w:val="001A5496"/>
    <w:rsid w:val="001A63A9"/>
    <w:rsid w:val="001A75A3"/>
    <w:rsid w:val="001B0349"/>
    <w:rsid w:val="001B09FE"/>
    <w:rsid w:val="001B1E93"/>
    <w:rsid w:val="001B65C1"/>
    <w:rsid w:val="001B7FEE"/>
    <w:rsid w:val="001C260F"/>
    <w:rsid w:val="001C5C3A"/>
    <w:rsid w:val="001C684B"/>
    <w:rsid w:val="001D0CFB"/>
    <w:rsid w:val="001D21AF"/>
    <w:rsid w:val="001D3D32"/>
    <w:rsid w:val="001D53FC"/>
    <w:rsid w:val="001D5A7D"/>
    <w:rsid w:val="001D65ED"/>
    <w:rsid w:val="001E08A6"/>
    <w:rsid w:val="001E2B02"/>
    <w:rsid w:val="001F42A5"/>
    <w:rsid w:val="001F6D6A"/>
    <w:rsid w:val="001F7B9D"/>
    <w:rsid w:val="00201C93"/>
    <w:rsid w:val="00204928"/>
    <w:rsid w:val="002052EC"/>
    <w:rsid w:val="00207B42"/>
    <w:rsid w:val="002224B4"/>
    <w:rsid w:val="00240C72"/>
    <w:rsid w:val="002447EF"/>
    <w:rsid w:val="002448C3"/>
    <w:rsid w:val="00251550"/>
    <w:rsid w:val="00253DFF"/>
    <w:rsid w:val="00262D5D"/>
    <w:rsid w:val="00262E52"/>
    <w:rsid w:val="00263B05"/>
    <w:rsid w:val="002718CF"/>
    <w:rsid w:val="0027221A"/>
    <w:rsid w:val="00275B61"/>
    <w:rsid w:val="00277496"/>
    <w:rsid w:val="00280FAF"/>
    <w:rsid w:val="00282656"/>
    <w:rsid w:val="002838D5"/>
    <w:rsid w:val="00296B83"/>
    <w:rsid w:val="002A619B"/>
    <w:rsid w:val="002B4015"/>
    <w:rsid w:val="002B78CE"/>
    <w:rsid w:val="002C0B3E"/>
    <w:rsid w:val="002C0F88"/>
    <w:rsid w:val="002C2FB6"/>
    <w:rsid w:val="002D72F8"/>
    <w:rsid w:val="002D7D4F"/>
    <w:rsid w:val="002E55D9"/>
    <w:rsid w:val="002E5FA7"/>
    <w:rsid w:val="002F0BD2"/>
    <w:rsid w:val="002F3309"/>
    <w:rsid w:val="003008CE"/>
    <w:rsid w:val="003009B7"/>
    <w:rsid w:val="00300A85"/>
    <w:rsid w:val="00300E56"/>
    <w:rsid w:val="0030152C"/>
    <w:rsid w:val="0030469C"/>
    <w:rsid w:val="00304CE8"/>
    <w:rsid w:val="00306276"/>
    <w:rsid w:val="00307083"/>
    <w:rsid w:val="0031195E"/>
    <w:rsid w:val="00314878"/>
    <w:rsid w:val="00321CA6"/>
    <w:rsid w:val="0032216D"/>
    <w:rsid w:val="00323763"/>
    <w:rsid w:val="00323C5F"/>
    <w:rsid w:val="003317DB"/>
    <w:rsid w:val="00334C09"/>
    <w:rsid w:val="003450E3"/>
    <w:rsid w:val="003455DA"/>
    <w:rsid w:val="00347365"/>
    <w:rsid w:val="003640B6"/>
    <w:rsid w:val="003723D4"/>
    <w:rsid w:val="00381905"/>
    <w:rsid w:val="00384CC8"/>
    <w:rsid w:val="00385646"/>
    <w:rsid w:val="003871FD"/>
    <w:rsid w:val="00395E43"/>
    <w:rsid w:val="003965A3"/>
    <w:rsid w:val="003A1E30"/>
    <w:rsid w:val="003A2829"/>
    <w:rsid w:val="003A2A56"/>
    <w:rsid w:val="003A7089"/>
    <w:rsid w:val="003A7D1C"/>
    <w:rsid w:val="003B02F5"/>
    <w:rsid w:val="003B304B"/>
    <w:rsid w:val="003B3146"/>
    <w:rsid w:val="003B49CD"/>
    <w:rsid w:val="003B5716"/>
    <w:rsid w:val="003B6532"/>
    <w:rsid w:val="003B6D04"/>
    <w:rsid w:val="003C5F4F"/>
    <w:rsid w:val="003D1E02"/>
    <w:rsid w:val="003D2C58"/>
    <w:rsid w:val="003E2B30"/>
    <w:rsid w:val="003E2FD0"/>
    <w:rsid w:val="003F015E"/>
    <w:rsid w:val="003F2E4A"/>
    <w:rsid w:val="00400414"/>
    <w:rsid w:val="00410BCE"/>
    <w:rsid w:val="004123C4"/>
    <w:rsid w:val="0041446B"/>
    <w:rsid w:val="00417DDE"/>
    <w:rsid w:val="0042414D"/>
    <w:rsid w:val="0043395C"/>
    <w:rsid w:val="00434E60"/>
    <w:rsid w:val="00436E52"/>
    <w:rsid w:val="0044071E"/>
    <w:rsid w:val="0044329C"/>
    <w:rsid w:val="00445DC2"/>
    <w:rsid w:val="00453E24"/>
    <w:rsid w:val="00457456"/>
    <w:rsid w:val="004577FE"/>
    <w:rsid w:val="00457B9C"/>
    <w:rsid w:val="0046164A"/>
    <w:rsid w:val="004628D2"/>
    <w:rsid w:val="00462DCD"/>
    <w:rsid w:val="00463F62"/>
    <w:rsid w:val="004648AD"/>
    <w:rsid w:val="004666AF"/>
    <w:rsid w:val="004670D7"/>
    <w:rsid w:val="004703A9"/>
    <w:rsid w:val="004760DE"/>
    <w:rsid w:val="004763D7"/>
    <w:rsid w:val="004805AB"/>
    <w:rsid w:val="00486EAE"/>
    <w:rsid w:val="00491D2E"/>
    <w:rsid w:val="004A004E"/>
    <w:rsid w:val="004A15FF"/>
    <w:rsid w:val="004A24CF"/>
    <w:rsid w:val="004B3ACA"/>
    <w:rsid w:val="004B4888"/>
    <w:rsid w:val="004C0302"/>
    <w:rsid w:val="004C3D1D"/>
    <w:rsid w:val="004C3D84"/>
    <w:rsid w:val="004C5ADD"/>
    <w:rsid w:val="004C6365"/>
    <w:rsid w:val="004C64F8"/>
    <w:rsid w:val="004C7913"/>
    <w:rsid w:val="004D3E36"/>
    <w:rsid w:val="004D4AD6"/>
    <w:rsid w:val="004D5B0A"/>
    <w:rsid w:val="004E466B"/>
    <w:rsid w:val="004E4DD6"/>
    <w:rsid w:val="004E635E"/>
    <w:rsid w:val="004E6422"/>
    <w:rsid w:val="004F5E36"/>
    <w:rsid w:val="004F6B46"/>
    <w:rsid w:val="00502C39"/>
    <w:rsid w:val="00507605"/>
    <w:rsid w:val="00507B47"/>
    <w:rsid w:val="00507BEF"/>
    <w:rsid w:val="00507CC9"/>
    <w:rsid w:val="005119A5"/>
    <w:rsid w:val="005122BB"/>
    <w:rsid w:val="0051533D"/>
    <w:rsid w:val="00517012"/>
    <w:rsid w:val="005173DC"/>
    <w:rsid w:val="005278B7"/>
    <w:rsid w:val="00532016"/>
    <w:rsid w:val="005346C8"/>
    <w:rsid w:val="005354C7"/>
    <w:rsid w:val="00536F48"/>
    <w:rsid w:val="0054156C"/>
    <w:rsid w:val="00543E7D"/>
    <w:rsid w:val="00544B46"/>
    <w:rsid w:val="00545171"/>
    <w:rsid w:val="00547A68"/>
    <w:rsid w:val="005531C9"/>
    <w:rsid w:val="00554879"/>
    <w:rsid w:val="00556669"/>
    <w:rsid w:val="00563F0B"/>
    <w:rsid w:val="00565AF2"/>
    <w:rsid w:val="00570C43"/>
    <w:rsid w:val="005710F8"/>
    <w:rsid w:val="00571353"/>
    <w:rsid w:val="00574555"/>
    <w:rsid w:val="00591FD1"/>
    <w:rsid w:val="00592274"/>
    <w:rsid w:val="005B2110"/>
    <w:rsid w:val="005B350B"/>
    <w:rsid w:val="005B3D70"/>
    <w:rsid w:val="005B61E6"/>
    <w:rsid w:val="005C2F4C"/>
    <w:rsid w:val="005C3752"/>
    <w:rsid w:val="005C58AF"/>
    <w:rsid w:val="005C77E1"/>
    <w:rsid w:val="005D22F8"/>
    <w:rsid w:val="005D668A"/>
    <w:rsid w:val="005D6A2F"/>
    <w:rsid w:val="005E0592"/>
    <w:rsid w:val="005E1A82"/>
    <w:rsid w:val="005E551E"/>
    <w:rsid w:val="005E794C"/>
    <w:rsid w:val="005F0A28"/>
    <w:rsid w:val="005F0D65"/>
    <w:rsid w:val="005F0E5E"/>
    <w:rsid w:val="005F4410"/>
    <w:rsid w:val="005F780B"/>
    <w:rsid w:val="006001FC"/>
    <w:rsid w:val="00600535"/>
    <w:rsid w:val="00601CBA"/>
    <w:rsid w:val="00610CD6"/>
    <w:rsid w:val="00611D18"/>
    <w:rsid w:val="006146F6"/>
    <w:rsid w:val="00616F0A"/>
    <w:rsid w:val="006207DD"/>
    <w:rsid w:val="00620DEE"/>
    <w:rsid w:val="00621F92"/>
    <w:rsid w:val="0062280A"/>
    <w:rsid w:val="006231E1"/>
    <w:rsid w:val="006245B1"/>
    <w:rsid w:val="00625639"/>
    <w:rsid w:val="00626342"/>
    <w:rsid w:val="00631B33"/>
    <w:rsid w:val="0064184D"/>
    <w:rsid w:val="006422CC"/>
    <w:rsid w:val="0064644C"/>
    <w:rsid w:val="00651D18"/>
    <w:rsid w:val="00660E3E"/>
    <w:rsid w:val="00662E74"/>
    <w:rsid w:val="00680C23"/>
    <w:rsid w:val="00683E23"/>
    <w:rsid w:val="00690BBF"/>
    <w:rsid w:val="006915F1"/>
    <w:rsid w:val="00693766"/>
    <w:rsid w:val="00693A3E"/>
    <w:rsid w:val="006A18FF"/>
    <w:rsid w:val="006A3281"/>
    <w:rsid w:val="006A6DE5"/>
    <w:rsid w:val="006B191B"/>
    <w:rsid w:val="006B41C4"/>
    <w:rsid w:val="006B4888"/>
    <w:rsid w:val="006C2E45"/>
    <w:rsid w:val="006C359C"/>
    <w:rsid w:val="006C5579"/>
    <w:rsid w:val="006D67DD"/>
    <w:rsid w:val="006D6E8B"/>
    <w:rsid w:val="006D7209"/>
    <w:rsid w:val="006E2511"/>
    <w:rsid w:val="006E2975"/>
    <w:rsid w:val="006E2BDD"/>
    <w:rsid w:val="006E737D"/>
    <w:rsid w:val="006F1649"/>
    <w:rsid w:val="007008B3"/>
    <w:rsid w:val="00707DD1"/>
    <w:rsid w:val="00712ABC"/>
    <w:rsid w:val="007138D2"/>
    <w:rsid w:val="00713973"/>
    <w:rsid w:val="00714838"/>
    <w:rsid w:val="0072067D"/>
    <w:rsid w:val="00720A24"/>
    <w:rsid w:val="00726224"/>
    <w:rsid w:val="00731AE1"/>
    <w:rsid w:val="00732386"/>
    <w:rsid w:val="0073514D"/>
    <w:rsid w:val="007447F3"/>
    <w:rsid w:val="00745D8F"/>
    <w:rsid w:val="00751641"/>
    <w:rsid w:val="00751E67"/>
    <w:rsid w:val="0075499F"/>
    <w:rsid w:val="00765843"/>
    <w:rsid w:val="00765873"/>
    <w:rsid w:val="00765FB5"/>
    <w:rsid w:val="007661C8"/>
    <w:rsid w:val="00766B2D"/>
    <w:rsid w:val="0077098D"/>
    <w:rsid w:val="00774CA2"/>
    <w:rsid w:val="00785BF9"/>
    <w:rsid w:val="0078777C"/>
    <w:rsid w:val="007901BC"/>
    <w:rsid w:val="007931FA"/>
    <w:rsid w:val="00796208"/>
    <w:rsid w:val="007A024F"/>
    <w:rsid w:val="007A399D"/>
    <w:rsid w:val="007A4861"/>
    <w:rsid w:val="007A7BBA"/>
    <w:rsid w:val="007B0C50"/>
    <w:rsid w:val="007B2BF6"/>
    <w:rsid w:val="007B4034"/>
    <w:rsid w:val="007B48F9"/>
    <w:rsid w:val="007B6064"/>
    <w:rsid w:val="007C1A43"/>
    <w:rsid w:val="007C49E5"/>
    <w:rsid w:val="007C6C80"/>
    <w:rsid w:val="007D036C"/>
    <w:rsid w:val="007D0951"/>
    <w:rsid w:val="007D610D"/>
    <w:rsid w:val="007E0E8B"/>
    <w:rsid w:val="0080013E"/>
    <w:rsid w:val="008013F7"/>
    <w:rsid w:val="00801759"/>
    <w:rsid w:val="00803D37"/>
    <w:rsid w:val="00807BD9"/>
    <w:rsid w:val="00813288"/>
    <w:rsid w:val="008168FC"/>
    <w:rsid w:val="008256FE"/>
    <w:rsid w:val="00830996"/>
    <w:rsid w:val="00832686"/>
    <w:rsid w:val="008345F1"/>
    <w:rsid w:val="00836486"/>
    <w:rsid w:val="008375D8"/>
    <w:rsid w:val="0084427A"/>
    <w:rsid w:val="008563F4"/>
    <w:rsid w:val="00860B4A"/>
    <w:rsid w:val="00865B07"/>
    <w:rsid w:val="008667EA"/>
    <w:rsid w:val="0087036E"/>
    <w:rsid w:val="00870A26"/>
    <w:rsid w:val="0087637F"/>
    <w:rsid w:val="00880B14"/>
    <w:rsid w:val="0088392B"/>
    <w:rsid w:val="00885364"/>
    <w:rsid w:val="00892AD5"/>
    <w:rsid w:val="008A1512"/>
    <w:rsid w:val="008A401A"/>
    <w:rsid w:val="008B2F3E"/>
    <w:rsid w:val="008B7A5C"/>
    <w:rsid w:val="008D0449"/>
    <w:rsid w:val="008D32B9"/>
    <w:rsid w:val="008D4120"/>
    <w:rsid w:val="008D433B"/>
    <w:rsid w:val="008D4A16"/>
    <w:rsid w:val="008E1DAF"/>
    <w:rsid w:val="008E5401"/>
    <w:rsid w:val="008E566E"/>
    <w:rsid w:val="008F2AC4"/>
    <w:rsid w:val="008F2B7C"/>
    <w:rsid w:val="008F4D03"/>
    <w:rsid w:val="008F6340"/>
    <w:rsid w:val="0090161A"/>
    <w:rsid w:val="00901EB6"/>
    <w:rsid w:val="009041F8"/>
    <w:rsid w:val="00904C62"/>
    <w:rsid w:val="00905B90"/>
    <w:rsid w:val="009076A5"/>
    <w:rsid w:val="00912532"/>
    <w:rsid w:val="009134DF"/>
    <w:rsid w:val="00922BA8"/>
    <w:rsid w:val="0092401D"/>
    <w:rsid w:val="00924DAC"/>
    <w:rsid w:val="00927058"/>
    <w:rsid w:val="00933432"/>
    <w:rsid w:val="00936F50"/>
    <w:rsid w:val="00940ECF"/>
    <w:rsid w:val="00942750"/>
    <w:rsid w:val="009447F6"/>
    <w:rsid w:val="009450CE"/>
    <w:rsid w:val="009459BB"/>
    <w:rsid w:val="00947179"/>
    <w:rsid w:val="00951122"/>
    <w:rsid w:val="0095164B"/>
    <w:rsid w:val="00954090"/>
    <w:rsid w:val="00955929"/>
    <w:rsid w:val="009561A6"/>
    <w:rsid w:val="009573E7"/>
    <w:rsid w:val="00961E2E"/>
    <w:rsid w:val="00963E05"/>
    <w:rsid w:val="00964A45"/>
    <w:rsid w:val="00967843"/>
    <w:rsid w:val="00967D54"/>
    <w:rsid w:val="00971028"/>
    <w:rsid w:val="009710F7"/>
    <w:rsid w:val="00972904"/>
    <w:rsid w:val="00973E12"/>
    <w:rsid w:val="009757B3"/>
    <w:rsid w:val="009833E1"/>
    <w:rsid w:val="00993B84"/>
    <w:rsid w:val="00994C6A"/>
    <w:rsid w:val="00996483"/>
    <w:rsid w:val="00996F5A"/>
    <w:rsid w:val="009A062A"/>
    <w:rsid w:val="009A15EC"/>
    <w:rsid w:val="009A4462"/>
    <w:rsid w:val="009A7071"/>
    <w:rsid w:val="009B041A"/>
    <w:rsid w:val="009B46F9"/>
    <w:rsid w:val="009B6E57"/>
    <w:rsid w:val="009C2658"/>
    <w:rsid w:val="009C37C3"/>
    <w:rsid w:val="009C5E8E"/>
    <w:rsid w:val="009C68D2"/>
    <w:rsid w:val="009C7C86"/>
    <w:rsid w:val="009D2FF7"/>
    <w:rsid w:val="009D3A6D"/>
    <w:rsid w:val="009E2ECB"/>
    <w:rsid w:val="009E7884"/>
    <w:rsid w:val="009E788A"/>
    <w:rsid w:val="009F083E"/>
    <w:rsid w:val="009F0E08"/>
    <w:rsid w:val="009F13B2"/>
    <w:rsid w:val="009F2CF3"/>
    <w:rsid w:val="00A06810"/>
    <w:rsid w:val="00A079AE"/>
    <w:rsid w:val="00A11EFE"/>
    <w:rsid w:val="00A1763D"/>
    <w:rsid w:val="00A17CEC"/>
    <w:rsid w:val="00A17F35"/>
    <w:rsid w:val="00A23F7B"/>
    <w:rsid w:val="00A27EF0"/>
    <w:rsid w:val="00A42361"/>
    <w:rsid w:val="00A455F1"/>
    <w:rsid w:val="00A47299"/>
    <w:rsid w:val="00A50B20"/>
    <w:rsid w:val="00A51390"/>
    <w:rsid w:val="00A53B5B"/>
    <w:rsid w:val="00A60927"/>
    <w:rsid w:val="00A60D13"/>
    <w:rsid w:val="00A63883"/>
    <w:rsid w:val="00A71D50"/>
    <w:rsid w:val="00A7223D"/>
    <w:rsid w:val="00A72745"/>
    <w:rsid w:val="00A74897"/>
    <w:rsid w:val="00A76EFC"/>
    <w:rsid w:val="00A87505"/>
    <w:rsid w:val="00A87D50"/>
    <w:rsid w:val="00A91010"/>
    <w:rsid w:val="00A91B1D"/>
    <w:rsid w:val="00A9320D"/>
    <w:rsid w:val="00A947F4"/>
    <w:rsid w:val="00A97F29"/>
    <w:rsid w:val="00AA1ABF"/>
    <w:rsid w:val="00AA2DC1"/>
    <w:rsid w:val="00AA702E"/>
    <w:rsid w:val="00AA7D26"/>
    <w:rsid w:val="00AB0959"/>
    <w:rsid w:val="00AB0964"/>
    <w:rsid w:val="00AB3F4D"/>
    <w:rsid w:val="00AB5011"/>
    <w:rsid w:val="00AB5CE5"/>
    <w:rsid w:val="00AB7049"/>
    <w:rsid w:val="00AC7368"/>
    <w:rsid w:val="00AD16B9"/>
    <w:rsid w:val="00AD70FF"/>
    <w:rsid w:val="00AE377D"/>
    <w:rsid w:val="00AE4427"/>
    <w:rsid w:val="00AF0EBA"/>
    <w:rsid w:val="00AF2463"/>
    <w:rsid w:val="00B02C8A"/>
    <w:rsid w:val="00B02DB8"/>
    <w:rsid w:val="00B0627F"/>
    <w:rsid w:val="00B0685E"/>
    <w:rsid w:val="00B10312"/>
    <w:rsid w:val="00B10D41"/>
    <w:rsid w:val="00B114A8"/>
    <w:rsid w:val="00B17FBD"/>
    <w:rsid w:val="00B315A6"/>
    <w:rsid w:val="00B31813"/>
    <w:rsid w:val="00B31BEA"/>
    <w:rsid w:val="00B33365"/>
    <w:rsid w:val="00B507D7"/>
    <w:rsid w:val="00B50917"/>
    <w:rsid w:val="00B5356E"/>
    <w:rsid w:val="00B5666D"/>
    <w:rsid w:val="00B57B36"/>
    <w:rsid w:val="00B57E6F"/>
    <w:rsid w:val="00B70ABB"/>
    <w:rsid w:val="00B71339"/>
    <w:rsid w:val="00B74285"/>
    <w:rsid w:val="00B76B12"/>
    <w:rsid w:val="00B830C4"/>
    <w:rsid w:val="00B843A3"/>
    <w:rsid w:val="00B8686D"/>
    <w:rsid w:val="00B87402"/>
    <w:rsid w:val="00B93F69"/>
    <w:rsid w:val="00BB1DDC"/>
    <w:rsid w:val="00BB3E5E"/>
    <w:rsid w:val="00BC30C9"/>
    <w:rsid w:val="00BC362A"/>
    <w:rsid w:val="00BD077D"/>
    <w:rsid w:val="00BE3070"/>
    <w:rsid w:val="00BE3E58"/>
    <w:rsid w:val="00BF0807"/>
    <w:rsid w:val="00BF13CE"/>
    <w:rsid w:val="00BF21BE"/>
    <w:rsid w:val="00BF6159"/>
    <w:rsid w:val="00C01616"/>
    <w:rsid w:val="00C0162B"/>
    <w:rsid w:val="00C01A2F"/>
    <w:rsid w:val="00C04BA1"/>
    <w:rsid w:val="00C068ED"/>
    <w:rsid w:val="00C07CE3"/>
    <w:rsid w:val="00C11D6C"/>
    <w:rsid w:val="00C1221F"/>
    <w:rsid w:val="00C17244"/>
    <w:rsid w:val="00C22A2F"/>
    <w:rsid w:val="00C22C36"/>
    <w:rsid w:val="00C22E0C"/>
    <w:rsid w:val="00C24897"/>
    <w:rsid w:val="00C345B1"/>
    <w:rsid w:val="00C36EBA"/>
    <w:rsid w:val="00C37EB7"/>
    <w:rsid w:val="00C40142"/>
    <w:rsid w:val="00C52C3C"/>
    <w:rsid w:val="00C57182"/>
    <w:rsid w:val="00C57863"/>
    <w:rsid w:val="00C6273D"/>
    <w:rsid w:val="00C640AF"/>
    <w:rsid w:val="00C655FD"/>
    <w:rsid w:val="00C65F5B"/>
    <w:rsid w:val="00C75407"/>
    <w:rsid w:val="00C80428"/>
    <w:rsid w:val="00C841C6"/>
    <w:rsid w:val="00C870A8"/>
    <w:rsid w:val="00C94434"/>
    <w:rsid w:val="00CA0B8F"/>
    <w:rsid w:val="00CA0D75"/>
    <w:rsid w:val="00CA1C95"/>
    <w:rsid w:val="00CA3F20"/>
    <w:rsid w:val="00CA5A9C"/>
    <w:rsid w:val="00CB54E2"/>
    <w:rsid w:val="00CC33A5"/>
    <w:rsid w:val="00CC4C20"/>
    <w:rsid w:val="00CC6352"/>
    <w:rsid w:val="00CD3517"/>
    <w:rsid w:val="00CD5FE2"/>
    <w:rsid w:val="00CE188C"/>
    <w:rsid w:val="00CE655E"/>
    <w:rsid w:val="00CE7C68"/>
    <w:rsid w:val="00CF101B"/>
    <w:rsid w:val="00D0048B"/>
    <w:rsid w:val="00D02B4C"/>
    <w:rsid w:val="00D03C9D"/>
    <w:rsid w:val="00D040C4"/>
    <w:rsid w:val="00D20AD1"/>
    <w:rsid w:val="00D2582C"/>
    <w:rsid w:val="00D35DA8"/>
    <w:rsid w:val="00D40DAC"/>
    <w:rsid w:val="00D46B7E"/>
    <w:rsid w:val="00D54B28"/>
    <w:rsid w:val="00D57C84"/>
    <w:rsid w:val="00D6057D"/>
    <w:rsid w:val="00D71640"/>
    <w:rsid w:val="00D81B7C"/>
    <w:rsid w:val="00D836C5"/>
    <w:rsid w:val="00D84576"/>
    <w:rsid w:val="00D84F88"/>
    <w:rsid w:val="00DA1399"/>
    <w:rsid w:val="00DA24C6"/>
    <w:rsid w:val="00DA4D7B"/>
    <w:rsid w:val="00DB7AF5"/>
    <w:rsid w:val="00DC2840"/>
    <w:rsid w:val="00DC73EE"/>
    <w:rsid w:val="00DD271C"/>
    <w:rsid w:val="00DD6C89"/>
    <w:rsid w:val="00DE17C7"/>
    <w:rsid w:val="00DE264A"/>
    <w:rsid w:val="00DF5072"/>
    <w:rsid w:val="00DF622A"/>
    <w:rsid w:val="00E0052D"/>
    <w:rsid w:val="00E01A50"/>
    <w:rsid w:val="00E01A6D"/>
    <w:rsid w:val="00E02D18"/>
    <w:rsid w:val="00E041E7"/>
    <w:rsid w:val="00E13776"/>
    <w:rsid w:val="00E23CA1"/>
    <w:rsid w:val="00E409A8"/>
    <w:rsid w:val="00E41A12"/>
    <w:rsid w:val="00E50C12"/>
    <w:rsid w:val="00E53CED"/>
    <w:rsid w:val="00E5734A"/>
    <w:rsid w:val="00E645C8"/>
    <w:rsid w:val="00E65B91"/>
    <w:rsid w:val="00E7209D"/>
    <w:rsid w:val="00E72EAD"/>
    <w:rsid w:val="00E73028"/>
    <w:rsid w:val="00E77223"/>
    <w:rsid w:val="00E831FF"/>
    <w:rsid w:val="00E8528B"/>
    <w:rsid w:val="00E85B94"/>
    <w:rsid w:val="00E86209"/>
    <w:rsid w:val="00E8724E"/>
    <w:rsid w:val="00E90B0C"/>
    <w:rsid w:val="00E978D0"/>
    <w:rsid w:val="00EA2694"/>
    <w:rsid w:val="00EA4613"/>
    <w:rsid w:val="00EA463E"/>
    <w:rsid w:val="00EA54DB"/>
    <w:rsid w:val="00EA64D2"/>
    <w:rsid w:val="00EA7F91"/>
    <w:rsid w:val="00EB00DA"/>
    <w:rsid w:val="00EB1523"/>
    <w:rsid w:val="00EB1AC2"/>
    <w:rsid w:val="00EB4245"/>
    <w:rsid w:val="00EB6E2C"/>
    <w:rsid w:val="00EC0E49"/>
    <w:rsid w:val="00EC101F"/>
    <w:rsid w:val="00EC1D9F"/>
    <w:rsid w:val="00ED3C38"/>
    <w:rsid w:val="00EE0131"/>
    <w:rsid w:val="00EE17B0"/>
    <w:rsid w:val="00EE4B0B"/>
    <w:rsid w:val="00EF06D9"/>
    <w:rsid w:val="00EF1C84"/>
    <w:rsid w:val="00F004FF"/>
    <w:rsid w:val="00F03545"/>
    <w:rsid w:val="00F05F43"/>
    <w:rsid w:val="00F0700F"/>
    <w:rsid w:val="00F1560B"/>
    <w:rsid w:val="00F1603E"/>
    <w:rsid w:val="00F3049E"/>
    <w:rsid w:val="00F30C64"/>
    <w:rsid w:val="00F3114F"/>
    <w:rsid w:val="00F32BA2"/>
    <w:rsid w:val="00F32CDB"/>
    <w:rsid w:val="00F330B5"/>
    <w:rsid w:val="00F33E61"/>
    <w:rsid w:val="00F41EE4"/>
    <w:rsid w:val="00F43578"/>
    <w:rsid w:val="00F4383D"/>
    <w:rsid w:val="00F55C01"/>
    <w:rsid w:val="00F565FE"/>
    <w:rsid w:val="00F63A70"/>
    <w:rsid w:val="00F63D8C"/>
    <w:rsid w:val="00F7534E"/>
    <w:rsid w:val="00F847E0"/>
    <w:rsid w:val="00F91664"/>
    <w:rsid w:val="00F93EDF"/>
    <w:rsid w:val="00FA1802"/>
    <w:rsid w:val="00FA21D0"/>
    <w:rsid w:val="00FA5E24"/>
    <w:rsid w:val="00FA5F5F"/>
    <w:rsid w:val="00FB053F"/>
    <w:rsid w:val="00FB44A2"/>
    <w:rsid w:val="00FB5D1D"/>
    <w:rsid w:val="00FB6D66"/>
    <w:rsid w:val="00FB730C"/>
    <w:rsid w:val="00FB76DE"/>
    <w:rsid w:val="00FC2695"/>
    <w:rsid w:val="00FC3E03"/>
    <w:rsid w:val="00FC3FC1"/>
    <w:rsid w:val="00FD35FF"/>
    <w:rsid w:val="00FD47C8"/>
    <w:rsid w:val="00FD552C"/>
    <w:rsid w:val="00FD6D3F"/>
    <w:rsid w:val="00FD73AF"/>
    <w:rsid w:val="00FE451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customStyle="1" w:styleId="a7">
    <w:name w:val="批注框文本 字符"/>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after="240" w:line="240" w:lineRule="auto"/>
      <w:ind w:left="0" w:firstLine="0"/>
    </w:pPr>
  </w:style>
  <w:style w:type="paragraph" w:styleId="23">
    <w:name w:val="Body Text 2"/>
    <w:basedOn w:val="a1"/>
    <w:link w:val="24"/>
    <w:uiPriority w:val="99"/>
    <w:semiHidden/>
    <w:unhideWhenUsed/>
    <w:rsid w:val="0003148D"/>
    <w:pPr>
      <w:spacing w:after="120" w:line="480" w:lineRule="auto"/>
    </w:pPr>
  </w:style>
  <w:style w:type="character" w:customStyle="1" w:styleId="24">
    <w:name w:val="正文文本 2 字符"/>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正文文本 3 字符"/>
    <w:basedOn w:val="a2"/>
    <w:link w:val="33"/>
    <w:uiPriority w:val="99"/>
    <w:semiHidden/>
    <w:rsid w:val="0003148D"/>
    <w:rPr>
      <w:sz w:val="16"/>
      <w:szCs w:val="16"/>
    </w:rPr>
  </w:style>
  <w:style w:type="paragraph" w:styleId="a9">
    <w:name w:val="Body Text"/>
    <w:basedOn w:val="a1"/>
    <w:link w:val="aa"/>
    <w:uiPriority w:val="99"/>
    <w:semiHidden/>
    <w:unhideWhenUsed/>
    <w:rsid w:val="0003148D"/>
    <w:pPr>
      <w:spacing w:after="120"/>
    </w:pPr>
  </w:style>
  <w:style w:type="character" w:customStyle="1" w:styleId="aa">
    <w:name w:val="正文文本 字符"/>
    <w:basedOn w:val="a2"/>
    <w:link w:val="a9"/>
    <w:uiPriority w:val="99"/>
    <w:semiHidden/>
    <w:rsid w:val="0003148D"/>
  </w:style>
  <w:style w:type="paragraph" w:styleId="ab">
    <w:name w:val="Date"/>
    <w:basedOn w:val="a1"/>
    <w:next w:val="a1"/>
    <w:link w:val="ac"/>
    <w:uiPriority w:val="99"/>
    <w:semiHidden/>
    <w:unhideWhenUsed/>
    <w:rsid w:val="0003148D"/>
  </w:style>
  <w:style w:type="character" w:customStyle="1" w:styleId="ac">
    <w:name w:val="日期 字符"/>
    <w:basedOn w:val="a2"/>
    <w:link w:val="ab"/>
    <w:uiPriority w:val="99"/>
    <w:semiHidden/>
    <w:rsid w:val="0003148D"/>
  </w:style>
  <w:style w:type="paragraph" w:styleId="ad">
    <w:name w:val="caption"/>
    <w:basedOn w:val="a1"/>
    <w:next w:val="a1"/>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customStyle="1" w:styleId="af1">
    <w:name w:val="签名 字符"/>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customStyle="1" w:styleId="af3">
    <w:name w:val="电子邮件签名 字符"/>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customStyle="1" w:styleId="af5">
    <w:name w:val="称呼 字符"/>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customStyle="1" w:styleId="af7">
    <w:name w:val="结束语 字符"/>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customStyle="1" w:styleId="HTML0">
    <w:name w:val="HTML 地址 字符"/>
    <w:basedOn w:val="a2"/>
    <w:link w:val="HTML"/>
    <w:uiPriority w:val="99"/>
    <w:semiHidden/>
    <w:rsid w:val="0003148D"/>
    <w:rPr>
      <w:i/>
      <w:iCs/>
    </w:rPr>
  </w:style>
  <w:style w:type="paragraph" w:styleId="afb">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c">
    <w:name w:val="Message Header"/>
    <w:basedOn w:val="a1"/>
    <w:link w:val="afd"/>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d">
    <w:name w:val="信息标题 字符"/>
    <w:basedOn w:val="a2"/>
    <w:link w:val="afc"/>
    <w:uiPriority w:val="99"/>
    <w:semiHidden/>
    <w:rsid w:val="0003148D"/>
    <w:rPr>
      <w:rFonts w:asciiTheme="majorHAnsi" w:eastAsiaTheme="majorEastAsia" w:hAnsiTheme="majorHAnsi" w:cstheme="majorBidi"/>
      <w:sz w:val="24"/>
      <w:szCs w:val="24"/>
      <w:shd w:val="pct20" w:color="auto" w:fill="auto"/>
    </w:rPr>
  </w:style>
  <w:style w:type="paragraph" w:styleId="afe">
    <w:name w:val="Note Heading"/>
    <w:basedOn w:val="a1"/>
    <w:next w:val="a1"/>
    <w:link w:val="aff"/>
    <w:uiPriority w:val="99"/>
    <w:semiHidden/>
    <w:unhideWhenUsed/>
    <w:rsid w:val="0003148D"/>
    <w:pPr>
      <w:spacing w:line="240" w:lineRule="auto"/>
    </w:pPr>
  </w:style>
  <w:style w:type="character" w:customStyle="1" w:styleId="aff">
    <w:name w:val="注释标题 字符"/>
    <w:basedOn w:val="a2"/>
    <w:link w:val="afe"/>
    <w:uiPriority w:val="99"/>
    <w:semiHidden/>
    <w:rsid w:val="0003148D"/>
  </w:style>
  <w:style w:type="paragraph" w:styleId="aff0">
    <w:name w:val="Document Map"/>
    <w:basedOn w:val="a1"/>
    <w:link w:val="aff1"/>
    <w:uiPriority w:val="99"/>
    <w:semiHidden/>
    <w:unhideWhenUsed/>
    <w:rsid w:val="0003148D"/>
    <w:pPr>
      <w:spacing w:line="240" w:lineRule="auto"/>
    </w:pPr>
    <w:rPr>
      <w:rFonts w:ascii="Tahoma" w:hAnsi="Tahoma" w:cs="Tahoma"/>
      <w:sz w:val="16"/>
      <w:szCs w:val="16"/>
    </w:rPr>
  </w:style>
  <w:style w:type="character" w:customStyle="1" w:styleId="aff1">
    <w:name w:val="文档结构图 字符"/>
    <w:basedOn w:val="a2"/>
    <w:link w:val="aff0"/>
    <w:uiPriority w:val="99"/>
    <w:semiHidden/>
    <w:rsid w:val="0003148D"/>
    <w:rPr>
      <w:rFonts w:ascii="Tahoma" w:hAnsi="Tahoma" w:cs="Tahoma"/>
      <w:sz w:val="16"/>
      <w:szCs w:val="16"/>
    </w:rPr>
  </w:style>
  <w:style w:type="paragraph" w:styleId="aff2">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customStyle="1" w:styleId="HTML2">
    <w:name w:val="HTML 预设格式 字符"/>
    <w:basedOn w:val="a2"/>
    <w:link w:val="HTML1"/>
    <w:uiPriority w:val="99"/>
    <w:semiHidden/>
    <w:rsid w:val="0003148D"/>
    <w:rPr>
      <w:rFonts w:ascii="Consolas" w:hAnsi="Consolas" w:cs="Consolas"/>
      <w:sz w:val="20"/>
      <w:szCs w:val="20"/>
    </w:rPr>
  </w:style>
  <w:style w:type="paragraph" w:styleId="aff3">
    <w:name w:val="Body Text First Indent"/>
    <w:basedOn w:val="a9"/>
    <w:link w:val="aff4"/>
    <w:uiPriority w:val="99"/>
    <w:semiHidden/>
    <w:unhideWhenUsed/>
    <w:rsid w:val="0003148D"/>
    <w:pPr>
      <w:spacing w:after="200"/>
      <w:ind w:firstLine="360"/>
    </w:pPr>
  </w:style>
  <w:style w:type="character" w:customStyle="1" w:styleId="aff4">
    <w:name w:val="正文文本首行缩进 字符"/>
    <w:basedOn w:val="aa"/>
    <w:link w:val="aff3"/>
    <w:uiPriority w:val="99"/>
    <w:semiHidden/>
    <w:rsid w:val="0003148D"/>
  </w:style>
  <w:style w:type="paragraph" w:styleId="aff5">
    <w:name w:val="Body Text Indent"/>
    <w:basedOn w:val="a1"/>
    <w:link w:val="aff6"/>
    <w:uiPriority w:val="99"/>
    <w:semiHidden/>
    <w:unhideWhenUsed/>
    <w:rsid w:val="0003148D"/>
    <w:pPr>
      <w:spacing w:after="120"/>
      <w:ind w:left="283"/>
    </w:pPr>
  </w:style>
  <w:style w:type="character" w:customStyle="1" w:styleId="aff6">
    <w:name w:val="正文文本缩进 字符"/>
    <w:basedOn w:val="a2"/>
    <w:link w:val="aff5"/>
    <w:uiPriority w:val="99"/>
    <w:semiHidden/>
    <w:rsid w:val="0003148D"/>
  </w:style>
  <w:style w:type="paragraph" w:styleId="28">
    <w:name w:val="Body Text First Indent 2"/>
    <w:basedOn w:val="aff5"/>
    <w:link w:val="29"/>
    <w:uiPriority w:val="99"/>
    <w:semiHidden/>
    <w:unhideWhenUsed/>
    <w:rsid w:val="0003148D"/>
    <w:pPr>
      <w:spacing w:after="200"/>
      <w:ind w:left="360" w:firstLine="360"/>
    </w:pPr>
  </w:style>
  <w:style w:type="character" w:customStyle="1" w:styleId="29">
    <w:name w:val="正文文本首行缩进 2 字符"/>
    <w:basedOn w:val="aff6"/>
    <w:link w:val="28"/>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a">
    <w:name w:val="Body Text Indent 2"/>
    <w:basedOn w:val="a1"/>
    <w:link w:val="2b"/>
    <w:uiPriority w:val="99"/>
    <w:semiHidden/>
    <w:unhideWhenUsed/>
    <w:rsid w:val="0003148D"/>
    <w:pPr>
      <w:spacing w:after="120" w:line="480" w:lineRule="auto"/>
      <w:ind w:left="283"/>
    </w:pPr>
  </w:style>
  <w:style w:type="character" w:customStyle="1" w:styleId="2b">
    <w:name w:val="正文文本缩进 2 字符"/>
    <w:basedOn w:val="a2"/>
    <w:link w:val="2a"/>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customStyle="1" w:styleId="39">
    <w:name w:val="正文文本缩进 3 字符"/>
    <w:basedOn w:val="a2"/>
    <w:link w:val="38"/>
    <w:uiPriority w:val="99"/>
    <w:semiHidden/>
    <w:rsid w:val="0003148D"/>
    <w:rPr>
      <w:sz w:val="16"/>
      <w:szCs w:val="16"/>
    </w:rPr>
  </w:style>
  <w:style w:type="paragraph" w:styleId="aff7">
    <w:name w:val="Normal Indent"/>
    <w:basedOn w:val="a1"/>
    <w:uiPriority w:val="99"/>
    <w:semiHidden/>
    <w:unhideWhenUsed/>
    <w:rsid w:val="0003148D"/>
    <w:pPr>
      <w:ind w:left="720"/>
    </w:pPr>
  </w:style>
  <w:style w:type="paragraph" w:styleId="aff8">
    <w:name w:val="annotation text"/>
    <w:basedOn w:val="a1"/>
    <w:link w:val="aff9"/>
    <w:uiPriority w:val="99"/>
    <w:unhideWhenUsed/>
    <w:rsid w:val="0003148D"/>
    <w:pPr>
      <w:spacing w:line="240" w:lineRule="auto"/>
    </w:pPr>
  </w:style>
  <w:style w:type="character" w:customStyle="1" w:styleId="aff9">
    <w:name w:val="批注文字 字符"/>
    <w:basedOn w:val="a2"/>
    <w:link w:val="aff8"/>
    <w:uiPriority w:val="99"/>
    <w:rsid w:val="0003148D"/>
    <w:rPr>
      <w:sz w:val="20"/>
      <w:szCs w:val="20"/>
    </w:rPr>
  </w:style>
  <w:style w:type="paragraph" w:styleId="affa">
    <w:name w:val="annotation subject"/>
    <w:basedOn w:val="aff8"/>
    <w:next w:val="aff8"/>
    <w:link w:val="affb"/>
    <w:uiPriority w:val="99"/>
    <w:semiHidden/>
    <w:unhideWhenUsed/>
    <w:rsid w:val="0003148D"/>
    <w:rPr>
      <w:b/>
      <w:bCs/>
    </w:rPr>
  </w:style>
  <w:style w:type="character" w:customStyle="1" w:styleId="affb">
    <w:name w:val="批注主题 字符"/>
    <w:basedOn w:val="aff9"/>
    <w:link w:val="affa"/>
    <w:uiPriority w:val="99"/>
    <w:semiHidden/>
    <w:rsid w:val="0003148D"/>
    <w:rPr>
      <w:b/>
      <w:bCs/>
      <w:sz w:val="20"/>
      <w:szCs w:val="20"/>
    </w:rPr>
  </w:style>
  <w:style w:type="paragraph" w:styleId="TOC1">
    <w:name w:val="toc 1"/>
    <w:basedOn w:val="a1"/>
    <w:next w:val="a1"/>
    <w:autoRedefine/>
    <w:uiPriority w:val="39"/>
    <w:semiHidden/>
    <w:unhideWhenUsed/>
    <w:rsid w:val="0003148D"/>
    <w:pPr>
      <w:spacing w:after="100"/>
    </w:pPr>
  </w:style>
  <w:style w:type="paragraph" w:styleId="TOC2">
    <w:name w:val="toc 2"/>
    <w:basedOn w:val="a1"/>
    <w:next w:val="a1"/>
    <w:autoRedefine/>
    <w:uiPriority w:val="39"/>
    <w:semiHidden/>
    <w:unhideWhenUsed/>
    <w:rsid w:val="0003148D"/>
    <w:pPr>
      <w:spacing w:after="100"/>
      <w:ind w:left="220"/>
    </w:pPr>
  </w:style>
  <w:style w:type="paragraph" w:styleId="TOC3">
    <w:name w:val="toc 3"/>
    <w:basedOn w:val="a1"/>
    <w:next w:val="a1"/>
    <w:autoRedefine/>
    <w:uiPriority w:val="39"/>
    <w:semiHidden/>
    <w:unhideWhenUsed/>
    <w:rsid w:val="0003148D"/>
    <w:pPr>
      <w:spacing w:after="100"/>
      <w:ind w:left="440"/>
    </w:pPr>
  </w:style>
  <w:style w:type="paragraph" w:styleId="TOC4">
    <w:name w:val="toc 4"/>
    <w:basedOn w:val="a1"/>
    <w:next w:val="a1"/>
    <w:autoRedefine/>
    <w:uiPriority w:val="39"/>
    <w:semiHidden/>
    <w:unhideWhenUsed/>
    <w:rsid w:val="0003148D"/>
    <w:pPr>
      <w:spacing w:after="100"/>
      <w:ind w:left="660"/>
    </w:pPr>
  </w:style>
  <w:style w:type="paragraph" w:styleId="TOC5">
    <w:name w:val="toc 5"/>
    <w:basedOn w:val="a1"/>
    <w:next w:val="a1"/>
    <w:autoRedefine/>
    <w:uiPriority w:val="39"/>
    <w:semiHidden/>
    <w:unhideWhenUsed/>
    <w:rsid w:val="0003148D"/>
    <w:pPr>
      <w:spacing w:after="100"/>
      <w:ind w:left="880"/>
    </w:pPr>
  </w:style>
  <w:style w:type="paragraph" w:styleId="TOC6">
    <w:name w:val="toc 6"/>
    <w:basedOn w:val="a1"/>
    <w:next w:val="a1"/>
    <w:autoRedefine/>
    <w:uiPriority w:val="39"/>
    <w:semiHidden/>
    <w:unhideWhenUsed/>
    <w:rsid w:val="0003148D"/>
    <w:pPr>
      <w:spacing w:after="100"/>
      <w:ind w:left="1100"/>
    </w:pPr>
  </w:style>
  <w:style w:type="paragraph" w:styleId="TOC7">
    <w:name w:val="toc 7"/>
    <w:basedOn w:val="a1"/>
    <w:next w:val="a1"/>
    <w:autoRedefine/>
    <w:uiPriority w:val="39"/>
    <w:semiHidden/>
    <w:unhideWhenUsed/>
    <w:rsid w:val="0003148D"/>
    <w:pPr>
      <w:spacing w:after="100"/>
      <w:ind w:left="1320"/>
    </w:pPr>
  </w:style>
  <w:style w:type="paragraph" w:styleId="TOC8">
    <w:name w:val="toc 8"/>
    <w:basedOn w:val="a1"/>
    <w:next w:val="a1"/>
    <w:autoRedefine/>
    <w:uiPriority w:val="39"/>
    <w:semiHidden/>
    <w:unhideWhenUsed/>
    <w:rsid w:val="0003148D"/>
    <w:pPr>
      <w:spacing w:after="100"/>
      <w:ind w:left="1540"/>
    </w:pPr>
  </w:style>
  <w:style w:type="paragraph" w:styleId="TOC9">
    <w:name w:val="toc 9"/>
    <w:basedOn w:val="a1"/>
    <w:next w:val="a1"/>
    <w:autoRedefine/>
    <w:uiPriority w:val="39"/>
    <w:semiHidden/>
    <w:unhideWhenUsed/>
    <w:rsid w:val="0003148D"/>
    <w:pPr>
      <w:spacing w:after="100"/>
      <w:ind w:left="1760"/>
    </w:pPr>
  </w:style>
  <w:style w:type="paragraph" w:styleId="affc">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d">
    <w:name w:val="macro"/>
    <w:link w:val="aff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e">
    <w:name w:val="宏文本 字符"/>
    <w:basedOn w:val="a2"/>
    <w:link w:val="affd"/>
    <w:uiPriority w:val="99"/>
    <w:semiHidden/>
    <w:rsid w:val="0003148D"/>
    <w:rPr>
      <w:rFonts w:ascii="Consolas" w:hAnsi="Consolas" w:cs="Consolas"/>
      <w:sz w:val="20"/>
      <w:szCs w:val="20"/>
    </w:rPr>
  </w:style>
  <w:style w:type="paragraph" w:styleId="afff">
    <w:name w:val="Plain Text"/>
    <w:basedOn w:val="a1"/>
    <w:link w:val="afff0"/>
    <w:uiPriority w:val="99"/>
    <w:semiHidden/>
    <w:unhideWhenUsed/>
    <w:rsid w:val="0003148D"/>
    <w:pPr>
      <w:spacing w:line="240" w:lineRule="auto"/>
    </w:pPr>
    <w:rPr>
      <w:rFonts w:ascii="Consolas" w:hAnsi="Consolas" w:cs="Consolas"/>
      <w:sz w:val="21"/>
      <w:szCs w:val="21"/>
    </w:rPr>
  </w:style>
  <w:style w:type="character" w:customStyle="1" w:styleId="afff0">
    <w:name w:val="纯文本 字符"/>
    <w:basedOn w:val="a2"/>
    <w:link w:val="afff"/>
    <w:uiPriority w:val="99"/>
    <w:semiHidden/>
    <w:rsid w:val="0003148D"/>
    <w:rPr>
      <w:rFonts w:ascii="Consolas" w:hAnsi="Consolas" w:cs="Consolas"/>
      <w:sz w:val="21"/>
      <w:szCs w:val="21"/>
    </w:rPr>
  </w:style>
  <w:style w:type="paragraph" w:styleId="afff1">
    <w:name w:val="footnote text"/>
    <w:basedOn w:val="a1"/>
    <w:link w:val="afff2"/>
    <w:uiPriority w:val="99"/>
    <w:semiHidden/>
    <w:unhideWhenUsed/>
    <w:rsid w:val="0003148D"/>
    <w:pPr>
      <w:spacing w:line="240" w:lineRule="auto"/>
    </w:pPr>
  </w:style>
  <w:style w:type="character" w:customStyle="1" w:styleId="afff2">
    <w:name w:val="脚注文本 字符"/>
    <w:basedOn w:val="a2"/>
    <w:link w:val="afff1"/>
    <w:uiPriority w:val="99"/>
    <w:semiHidden/>
    <w:rsid w:val="0003148D"/>
    <w:rPr>
      <w:sz w:val="20"/>
      <w:szCs w:val="20"/>
    </w:rPr>
  </w:style>
  <w:style w:type="paragraph" w:styleId="afff3">
    <w:name w:val="endnote text"/>
    <w:basedOn w:val="a1"/>
    <w:link w:val="afff4"/>
    <w:uiPriority w:val="99"/>
    <w:semiHidden/>
    <w:unhideWhenUsed/>
    <w:rsid w:val="0003148D"/>
    <w:pPr>
      <w:spacing w:line="240" w:lineRule="auto"/>
    </w:pPr>
  </w:style>
  <w:style w:type="character" w:customStyle="1" w:styleId="afff4">
    <w:name w:val="尾注文本 字符"/>
    <w:basedOn w:val="a2"/>
    <w:link w:val="afff3"/>
    <w:uiPriority w:val="99"/>
    <w:semiHidden/>
    <w:rsid w:val="0003148D"/>
    <w:rPr>
      <w:sz w:val="20"/>
      <w:szCs w:val="20"/>
    </w:rPr>
  </w:style>
  <w:style w:type="character" w:customStyle="1" w:styleId="11">
    <w:name w:val="标题 1 字符"/>
    <w:basedOn w:val="a2"/>
    <w:link w:val="10"/>
    <w:uiPriority w:val="9"/>
    <w:rsid w:val="004F5E36"/>
    <w:rPr>
      <w:rFonts w:ascii="Arial" w:eastAsia="Times New Roman" w:hAnsi="Arial" w:cs="Times New Roman"/>
      <w:b/>
      <w:sz w:val="20"/>
      <w:szCs w:val="20"/>
      <w:lang w:val="en-GB"/>
    </w:rPr>
  </w:style>
  <w:style w:type="character" w:customStyle="1" w:styleId="22">
    <w:name w:val="标题 2 字符"/>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标题 3 字符"/>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标题 4 字符"/>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标题 5 字符"/>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标题 6 字符"/>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标题 7 字符"/>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标题 9 字符"/>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5">
    <w:name w:val="index heading"/>
    <w:basedOn w:val="a1"/>
    <w:next w:val="12"/>
    <w:uiPriority w:val="99"/>
    <w:semiHidden/>
    <w:unhideWhenUsed/>
    <w:rsid w:val="0003148D"/>
    <w:rPr>
      <w:rFonts w:asciiTheme="majorHAnsi" w:eastAsiaTheme="majorEastAsia" w:hAnsiTheme="majorHAnsi" w:cstheme="majorBidi"/>
      <w:b/>
      <w:bCs/>
    </w:rPr>
  </w:style>
  <w:style w:type="paragraph" w:styleId="afff6">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TOC">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5278B7"/>
    <w:pPr>
      <w:tabs>
        <w:tab w:val="clear" w:pos="7100"/>
        <w:tab w:val="center" w:pos="4819"/>
        <w:tab w:val="right" w:pos="9638"/>
      </w:tabs>
      <w:spacing w:line="240" w:lineRule="auto"/>
    </w:pPr>
  </w:style>
  <w:style w:type="character" w:customStyle="1" w:styleId="afff8">
    <w:name w:val="页眉 字符"/>
    <w:basedOn w:val="a2"/>
    <w:link w:val="afff7"/>
    <w:uiPriority w:val="99"/>
    <w:rsid w:val="005278B7"/>
    <w:rPr>
      <w:rFonts w:ascii="Arial" w:eastAsia="Times New Roman" w:hAnsi="Arial" w:cs="Times New Roman"/>
      <w:sz w:val="18"/>
      <w:szCs w:val="20"/>
      <w:lang w:val="en-GB"/>
    </w:rPr>
  </w:style>
  <w:style w:type="paragraph" w:styleId="afff9">
    <w:name w:val="footer"/>
    <w:basedOn w:val="a1"/>
    <w:link w:val="afffa"/>
    <w:uiPriority w:val="99"/>
    <w:unhideWhenUsed/>
    <w:rsid w:val="005278B7"/>
    <w:pPr>
      <w:tabs>
        <w:tab w:val="clear" w:pos="7100"/>
        <w:tab w:val="center" w:pos="4819"/>
        <w:tab w:val="right" w:pos="9638"/>
      </w:tabs>
      <w:spacing w:line="240" w:lineRule="auto"/>
    </w:pPr>
  </w:style>
  <w:style w:type="character" w:customStyle="1" w:styleId="afffa">
    <w:name w:val="页脚 字符"/>
    <w:basedOn w:val="a2"/>
    <w:link w:val="afff9"/>
    <w:uiPriority w:val="99"/>
    <w:rsid w:val="005278B7"/>
    <w:rPr>
      <w:rFonts w:ascii="Arial" w:eastAsia="Times New Roman" w:hAnsi="Arial" w:cs="Times New Roman"/>
      <w:sz w:val="18"/>
      <w:szCs w:val="20"/>
      <w:lang w:val="en-GB"/>
    </w:rPr>
  </w:style>
  <w:style w:type="table" w:styleId="afffb">
    <w:name w:val="Table Grid"/>
    <w:basedOn w:val="a3"/>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afffd">
    <w:name w:val="List Paragraph"/>
    <w:basedOn w:val="a1"/>
    <w:uiPriority w:val="34"/>
    <w:rsid w:val="00280FAF"/>
    <w:pPr>
      <w:ind w:left="720"/>
      <w:contextualSpacing/>
    </w:pPr>
  </w:style>
  <w:style w:type="character" w:customStyle="1" w:styleId="gmail-apple-converted-space">
    <w:name w:val="gmail-apple-converted-space"/>
    <w:basedOn w:val="a2"/>
    <w:rsid w:val="00005A19"/>
  </w:style>
  <w:style w:type="character" w:styleId="afffe">
    <w:name w:val="Emphasis"/>
    <w:basedOn w:val="a2"/>
    <w:uiPriority w:val="20"/>
    <w:qFormat/>
    <w:rsid w:val="00B103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490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80771">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5466107">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9377881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6576</Words>
  <Characters>37489</Characters>
  <Application>Microsoft Office Word</Application>
  <DocSecurity>0</DocSecurity>
  <Lines>312</Lines>
  <Paragraphs>87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43978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Jing Dang</cp:lastModifiedBy>
  <cp:revision>156</cp:revision>
  <cp:lastPrinted>2015-05-12T18:31:00Z</cp:lastPrinted>
  <dcterms:created xsi:type="dcterms:W3CDTF">2024-12-14T13:34:00Z</dcterms:created>
  <dcterms:modified xsi:type="dcterms:W3CDTF">2025-05-07T08:49:00Z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id="WHeAVJvw"/&gt;&lt;style id="http://www.zotero.org/styles/harvard-cite-them-right" hasBibliography="1" bibliographyStyleHasBeenSet="1"/&gt;&lt;prefs&gt;&lt;pref name="fieldType" value="Field"/&gt;&lt;pref name="storeRefe</vt:lpwstr>
  </property>
  <property fmtid="{D5CDD505-2E9C-101B-9397-08002B2CF9AE}" pid="3" name="ZOTERO_PREF_2">
    <vt:lpwstr>rences" value="true"/&gt;&lt;/prefs&gt;&lt;/data&gt;</vt:lpwstr>
  </property>
</Properties>
</file>